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C0" w:rsidRDefault="00286951">
      <w:pPr>
        <w:rPr>
          <w:sz w:val="8"/>
          <w:szCs w:val="8"/>
        </w:rPr>
      </w:pPr>
      <w:bookmarkStart w:id="0" w:name="_GoBack"/>
      <w:bookmarkEnd w:id="0"/>
      <w:r>
        <w:rPr>
          <w:noProof/>
        </w:rPr>
        <w:pict>
          <v:line id="_x0000_s1026" style="position:absolute;z-index:251656704" from=".6pt,-.7pt" to="87pt,-.65pt" o:allowincell="f" strokeweight="1pt">
            <v:stroke startarrowwidth="narrow" startarrowlength="short" endarrowwidth="narrow" endarrowlength="short"/>
          </v:line>
        </w:pict>
      </w:r>
    </w:p>
    <w:p w:rsidR="003E57C0" w:rsidRDefault="00FC380F">
      <w:pPr>
        <w:spacing w:line="340" w:lineRule="exact"/>
        <w:rPr>
          <w:b/>
          <w:bCs/>
          <w:sz w:val="36"/>
          <w:szCs w:val="36"/>
        </w:rPr>
      </w:pPr>
      <w:r>
        <w:rPr>
          <w:b/>
          <w:bCs/>
          <w:sz w:val="36"/>
          <w:szCs w:val="36"/>
        </w:rPr>
        <w:t xml:space="preserve">Financial </w:t>
      </w:r>
      <w:r w:rsidR="00DC3357">
        <w:rPr>
          <w:b/>
          <w:bCs/>
          <w:sz w:val="36"/>
          <w:szCs w:val="36"/>
        </w:rPr>
        <w:tab/>
      </w:r>
      <w:r w:rsidR="00DC3357">
        <w:rPr>
          <w:b/>
          <w:bCs/>
          <w:sz w:val="36"/>
          <w:szCs w:val="36"/>
        </w:rPr>
        <w:tab/>
      </w:r>
      <w:r w:rsidR="00DC3357">
        <w:rPr>
          <w:b/>
          <w:bCs/>
          <w:sz w:val="36"/>
          <w:szCs w:val="36"/>
        </w:rPr>
        <w:tab/>
      </w:r>
      <w:r w:rsidR="00DC3357">
        <w:rPr>
          <w:b/>
          <w:bCs/>
          <w:sz w:val="36"/>
          <w:szCs w:val="36"/>
        </w:rPr>
        <w:tab/>
      </w:r>
      <w:r w:rsidR="00400BE3">
        <w:rPr>
          <w:b/>
          <w:bCs/>
          <w:sz w:val="36"/>
          <w:szCs w:val="36"/>
        </w:rPr>
        <w:t>INTEROFFICE MEMORANDUM</w:t>
      </w:r>
    </w:p>
    <w:p w:rsidR="003E57C0" w:rsidRDefault="00400BE3">
      <w:pPr>
        <w:spacing w:line="340" w:lineRule="exact"/>
        <w:rPr>
          <w:b/>
          <w:bCs/>
          <w:sz w:val="36"/>
          <w:szCs w:val="36"/>
        </w:rPr>
      </w:pPr>
      <w:r>
        <w:rPr>
          <w:b/>
          <w:bCs/>
          <w:sz w:val="36"/>
          <w:szCs w:val="36"/>
        </w:rPr>
        <w:t xml:space="preserve"> </w:t>
      </w:r>
      <w:r w:rsidR="00FC380F">
        <w:rPr>
          <w:b/>
          <w:bCs/>
          <w:sz w:val="36"/>
          <w:szCs w:val="36"/>
        </w:rPr>
        <w:t>Services</w:t>
      </w:r>
    </w:p>
    <w:p w:rsidR="003E57C0" w:rsidRDefault="00286951">
      <w:pPr>
        <w:spacing w:line="340" w:lineRule="exact"/>
        <w:rPr>
          <w:sz w:val="24"/>
          <w:szCs w:val="24"/>
        </w:rPr>
      </w:pPr>
      <w:r>
        <w:rPr>
          <w:noProof/>
        </w:rPr>
        <w:pict>
          <v:line id="_x0000_s1027" style="position:absolute;z-index:251655680" from="-.75pt,2.85pt" to="85.65pt,2.9pt" o:allowincell="f" strokeweight="1pt">
            <v:stroke startarrowwidth="narrow" startarrowlength="short" endarrowwidth="narrow" endarrowlength="short"/>
          </v:line>
        </w:pict>
      </w:r>
    </w:p>
    <w:p w:rsidR="003E57C0" w:rsidRDefault="003E57C0">
      <w:pPr>
        <w:rPr>
          <w:sz w:val="8"/>
          <w:szCs w:val="8"/>
        </w:rPr>
      </w:pPr>
    </w:p>
    <w:p w:rsidR="003E57C0" w:rsidRDefault="003E57C0">
      <w:pPr>
        <w:rPr>
          <w:sz w:val="8"/>
          <w:szCs w:val="8"/>
        </w:rPr>
      </w:pPr>
    </w:p>
    <w:p w:rsidR="003E57C0" w:rsidRDefault="00FC380F" w:rsidP="00C12D5C">
      <w:pPr>
        <w:tabs>
          <w:tab w:val="left" w:pos="504"/>
          <w:tab w:val="left" w:pos="3600"/>
          <w:tab w:val="left" w:pos="5760"/>
        </w:tabs>
        <w:spacing w:line="340" w:lineRule="exact"/>
        <w:rPr>
          <w:sz w:val="12"/>
          <w:szCs w:val="12"/>
        </w:rPr>
      </w:pPr>
      <w:r>
        <w:rPr>
          <w:sz w:val="24"/>
          <w:szCs w:val="24"/>
        </w:rPr>
        <w:t xml:space="preserve"> </w:t>
      </w:r>
      <w:r w:rsidR="00400BE3">
        <w:rPr>
          <w:sz w:val="24"/>
          <w:szCs w:val="24"/>
        </w:rPr>
        <w:sym w:font="Wingdings" w:char="F071"/>
      </w:r>
      <w:r w:rsidR="00400BE3">
        <w:rPr>
          <w:sz w:val="24"/>
          <w:szCs w:val="24"/>
        </w:rPr>
        <w:tab/>
      </w:r>
      <w:r w:rsidR="00400BE3">
        <w:rPr>
          <w:i/>
          <w:iCs/>
          <w:sz w:val="24"/>
          <w:szCs w:val="24"/>
        </w:rPr>
        <w:t>Priority</w:t>
      </w:r>
      <w:r w:rsidR="00400BE3">
        <w:rPr>
          <w:sz w:val="24"/>
          <w:szCs w:val="24"/>
        </w:rPr>
        <w:tab/>
        <w:t>DATE:</w:t>
      </w:r>
      <w:r>
        <w:rPr>
          <w:sz w:val="24"/>
          <w:szCs w:val="24"/>
        </w:rPr>
        <w:t xml:space="preserve"> 9/6/1996 </w:t>
      </w:r>
    </w:p>
    <w:p w:rsidR="003E57C0" w:rsidRDefault="00FC380F" w:rsidP="00C12D5C">
      <w:pPr>
        <w:tabs>
          <w:tab w:val="left" w:pos="504"/>
          <w:tab w:val="left" w:pos="3600"/>
          <w:tab w:val="left" w:pos="5760"/>
        </w:tabs>
        <w:spacing w:line="340" w:lineRule="exact"/>
        <w:rPr>
          <w:sz w:val="24"/>
          <w:szCs w:val="24"/>
          <w:u w:val="single"/>
        </w:rPr>
      </w:pPr>
      <w:r>
        <w:rPr>
          <w:sz w:val="24"/>
          <w:szCs w:val="24"/>
        </w:rPr>
        <w:t xml:space="preserve"> </w:t>
      </w:r>
      <w:r w:rsidR="00400BE3">
        <w:rPr>
          <w:sz w:val="24"/>
          <w:szCs w:val="24"/>
        </w:rPr>
        <w:sym w:font="Wingdings" w:char="F071"/>
      </w:r>
      <w:r w:rsidR="00400BE3">
        <w:rPr>
          <w:sz w:val="24"/>
          <w:szCs w:val="24"/>
        </w:rPr>
        <w:tab/>
      </w:r>
      <w:r w:rsidR="00400BE3">
        <w:rPr>
          <w:i/>
          <w:iCs/>
          <w:sz w:val="24"/>
          <w:szCs w:val="24"/>
        </w:rPr>
        <w:t>Action Needed</w:t>
      </w:r>
      <w:r w:rsidR="00400BE3">
        <w:rPr>
          <w:sz w:val="24"/>
          <w:szCs w:val="24"/>
        </w:rPr>
        <w:tab/>
        <w:t>TO:</w:t>
      </w:r>
      <w:r>
        <w:rPr>
          <w:sz w:val="24"/>
          <w:szCs w:val="24"/>
        </w:rPr>
        <w:t xml:space="preserve"> Boss</w:t>
      </w:r>
    </w:p>
    <w:p w:rsidR="003E57C0" w:rsidRDefault="00FC380F" w:rsidP="00C12D5C">
      <w:pPr>
        <w:tabs>
          <w:tab w:val="left" w:pos="504"/>
          <w:tab w:val="left" w:pos="3600"/>
          <w:tab w:val="left" w:pos="5760"/>
        </w:tabs>
        <w:spacing w:line="340" w:lineRule="exact"/>
        <w:rPr>
          <w:sz w:val="24"/>
          <w:szCs w:val="24"/>
        </w:rPr>
      </w:pPr>
      <w:r>
        <w:rPr>
          <w:sz w:val="24"/>
          <w:szCs w:val="24"/>
        </w:rPr>
        <w:t xml:space="preserve"> </w:t>
      </w:r>
      <w:r w:rsidR="00400BE3">
        <w:rPr>
          <w:sz w:val="24"/>
          <w:szCs w:val="24"/>
        </w:rPr>
        <w:sym w:font="Wingdings" w:char="F071"/>
      </w:r>
      <w:r w:rsidR="00400BE3">
        <w:rPr>
          <w:sz w:val="24"/>
          <w:szCs w:val="24"/>
        </w:rPr>
        <w:tab/>
      </w:r>
      <w:r w:rsidR="00400BE3">
        <w:rPr>
          <w:i/>
          <w:iCs/>
          <w:sz w:val="24"/>
          <w:szCs w:val="24"/>
        </w:rPr>
        <w:t>R.S.V.P.</w:t>
      </w:r>
      <w:r w:rsidR="00400BE3">
        <w:rPr>
          <w:sz w:val="24"/>
          <w:szCs w:val="24"/>
        </w:rPr>
        <w:tab/>
        <w:t>FROM:</w:t>
      </w:r>
      <w:r>
        <w:rPr>
          <w:sz w:val="24"/>
          <w:szCs w:val="24"/>
        </w:rPr>
        <w:t xml:space="preserve"> </w:t>
      </w:r>
      <w:r w:rsidR="00400BE3">
        <w:rPr>
          <w:sz w:val="24"/>
          <w:szCs w:val="24"/>
        </w:rPr>
        <w:t>Mike Fulford</w:t>
      </w:r>
    </w:p>
    <w:p w:rsidR="003E57C0" w:rsidRPr="00C12D5C" w:rsidRDefault="00FC380F" w:rsidP="00C12D5C">
      <w:pPr>
        <w:tabs>
          <w:tab w:val="left" w:pos="504"/>
          <w:tab w:val="left" w:pos="3600"/>
          <w:tab w:val="left" w:pos="5760"/>
        </w:tabs>
        <w:spacing w:line="340" w:lineRule="exact"/>
        <w:rPr>
          <w:sz w:val="24"/>
          <w:szCs w:val="24"/>
        </w:rPr>
      </w:pPr>
      <w:r>
        <w:rPr>
          <w:sz w:val="24"/>
          <w:szCs w:val="24"/>
        </w:rPr>
        <w:t xml:space="preserve"> </w:t>
      </w:r>
      <w:r w:rsidR="00400BE3">
        <w:rPr>
          <w:sz w:val="24"/>
          <w:szCs w:val="24"/>
        </w:rPr>
        <w:sym w:font="Wingdings" w:char="F071"/>
      </w:r>
      <w:r w:rsidR="00400BE3">
        <w:rPr>
          <w:sz w:val="24"/>
          <w:szCs w:val="24"/>
        </w:rPr>
        <w:tab/>
      </w:r>
      <w:r w:rsidR="00400BE3">
        <w:rPr>
          <w:i/>
          <w:iCs/>
          <w:sz w:val="24"/>
          <w:szCs w:val="24"/>
        </w:rPr>
        <w:t>For Your Information</w:t>
      </w:r>
      <w:r w:rsidR="00400BE3">
        <w:rPr>
          <w:sz w:val="24"/>
          <w:szCs w:val="24"/>
        </w:rPr>
        <w:tab/>
        <w:t>SUBJECT:</w:t>
      </w:r>
      <w:r>
        <w:rPr>
          <w:sz w:val="24"/>
          <w:szCs w:val="24"/>
        </w:rPr>
        <w:t xml:space="preserve"> </w:t>
      </w:r>
      <w:r w:rsidR="00400BE3">
        <w:rPr>
          <w:sz w:val="24"/>
          <w:szCs w:val="24"/>
        </w:rPr>
        <w:t>Field trainin</w:t>
      </w:r>
      <w:r w:rsidR="00C12D5C">
        <w:rPr>
          <w:sz w:val="24"/>
          <w:szCs w:val="24"/>
        </w:rPr>
        <w:t>g on Apples to Apples comparison</w:t>
      </w:r>
    </w:p>
    <w:p w:rsidR="003E57C0" w:rsidRDefault="00FC380F" w:rsidP="00C12D5C">
      <w:pPr>
        <w:tabs>
          <w:tab w:val="left" w:pos="504"/>
          <w:tab w:val="left" w:pos="3600"/>
          <w:tab w:val="left" w:pos="5760"/>
        </w:tabs>
        <w:spacing w:line="340" w:lineRule="exact"/>
        <w:rPr>
          <w:sz w:val="24"/>
          <w:szCs w:val="24"/>
        </w:rPr>
      </w:pPr>
      <w:r>
        <w:rPr>
          <w:sz w:val="24"/>
          <w:szCs w:val="24"/>
        </w:rPr>
        <w:t xml:space="preserve"> </w:t>
      </w:r>
      <w:r w:rsidR="00400BE3">
        <w:rPr>
          <w:sz w:val="24"/>
          <w:szCs w:val="24"/>
        </w:rPr>
        <w:sym w:font="Wingdings" w:char="F071"/>
      </w:r>
      <w:r w:rsidR="00400BE3">
        <w:rPr>
          <w:sz w:val="24"/>
          <w:szCs w:val="24"/>
        </w:rPr>
        <w:tab/>
      </w:r>
      <w:r w:rsidR="00400BE3">
        <w:rPr>
          <w:i/>
          <w:iCs/>
          <w:sz w:val="24"/>
          <w:szCs w:val="24"/>
        </w:rPr>
        <w:t>Per Your Request</w:t>
      </w:r>
      <w:r w:rsidR="00400BE3">
        <w:rPr>
          <w:sz w:val="24"/>
          <w:szCs w:val="24"/>
        </w:rPr>
        <w:tab/>
        <w:t>CC:</w:t>
      </w:r>
      <w:r>
        <w:rPr>
          <w:sz w:val="24"/>
          <w:szCs w:val="24"/>
        </w:rPr>
        <w:t xml:space="preserve"> Boss</w:t>
      </w:r>
    </w:p>
    <w:p w:rsidR="003E57C0" w:rsidRDefault="00FC380F" w:rsidP="00C12D5C">
      <w:pPr>
        <w:tabs>
          <w:tab w:val="left" w:pos="504"/>
          <w:tab w:val="left" w:pos="3600"/>
          <w:tab w:val="left" w:pos="5760"/>
        </w:tabs>
        <w:spacing w:line="340" w:lineRule="exact"/>
        <w:rPr>
          <w:sz w:val="24"/>
          <w:szCs w:val="24"/>
        </w:rPr>
      </w:pPr>
      <w:r>
        <w:rPr>
          <w:sz w:val="24"/>
          <w:szCs w:val="24"/>
        </w:rPr>
        <w:t xml:space="preserve"> </w:t>
      </w:r>
      <w:r w:rsidR="00400BE3">
        <w:rPr>
          <w:sz w:val="24"/>
          <w:szCs w:val="24"/>
        </w:rPr>
        <w:sym w:font="Wingdings" w:char="F071"/>
      </w:r>
      <w:r w:rsidR="00400BE3">
        <w:rPr>
          <w:sz w:val="24"/>
          <w:szCs w:val="24"/>
        </w:rPr>
        <w:tab/>
      </w:r>
      <w:r w:rsidR="00400BE3">
        <w:rPr>
          <w:i/>
          <w:iCs/>
          <w:sz w:val="24"/>
          <w:szCs w:val="24"/>
        </w:rPr>
        <w:t>Per Our Discussion</w:t>
      </w:r>
      <w:r w:rsidR="00400BE3">
        <w:rPr>
          <w:sz w:val="24"/>
          <w:szCs w:val="24"/>
        </w:rPr>
        <w:tab/>
      </w:r>
      <w:r w:rsidR="00400BE3">
        <w:rPr>
          <w:sz w:val="24"/>
          <w:szCs w:val="24"/>
        </w:rPr>
        <w:tab/>
      </w:r>
    </w:p>
    <w:p w:rsidR="003E57C0" w:rsidRDefault="003E57C0" w:rsidP="00C12D5C">
      <w:pPr>
        <w:spacing w:line="340" w:lineRule="exact"/>
        <w:rPr>
          <w:sz w:val="24"/>
          <w:szCs w:val="24"/>
        </w:rPr>
      </w:pPr>
    </w:p>
    <w:p w:rsidR="003E57C0" w:rsidRDefault="003E57C0" w:rsidP="00C12D5C">
      <w:pPr>
        <w:spacing w:line="340" w:lineRule="exact"/>
        <w:rPr>
          <w:sz w:val="24"/>
          <w:szCs w:val="24"/>
        </w:rPr>
      </w:pPr>
    </w:p>
    <w:p w:rsidR="003E57C0" w:rsidRDefault="003E57C0">
      <w:pPr>
        <w:rPr>
          <w:sz w:val="24"/>
          <w:szCs w:val="24"/>
        </w:rPr>
      </w:pPr>
    </w:p>
    <w:p w:rsidR="003E57C0" w:rsidRDefault="003E57C0">
      <w:pPr>
        <w:rPr>
          <w:sz w:val="24"/>
          <w:szCs w:val="24"/>
        </w:rPr>
      </w:pPr>
    </w:p>
    <w:p w:rsidR="003E57C0" w:rsidRDefault="003E57C0">
      <w:pPr>
        <w:rPr>
          <w:sz w:val="24"/>
          <w:szCs w:val="24"/>
        </w:rPr>
      </w:pPr>
    </w:p>
    <w:p w:rsidR="003E57C0" w:rsidRDefault="003E57C0">
      <w:pPr>
        <w:rPr>
          <w:sz w:val="24"/>
          <w:szCs w:val="24"/>
        </w:rPr>
      </w:pPr>
    </w:p>
    <w:p w:rsidR="003E57C0" w:rsidRDefault="00400BE3">
      <w:pPr>
        <w:rPr>
          <w:sz w:val="24"/>
          <w:szCs w:val="24"/>
        </w:rPr>
      </w:pPr>
      <w:r>
        <w:rPr>
          <w:sz w:val="24"/>
          <w:szCs w:val="24"/>
        </w:rPr>
        <w:t>This memo is to demonstrate:</w:t>
      </w:r>
    </w:p>
    <w:p w:rsidR="003E57C0" w:rsidRDefault="003E57C0">
      <w:pPr>
        <w:rPr>
          <w:sz w:val="24"/>
          <w:szCs w:val="24"/>
        </w:rPr>
      </w:pPr>
    </w:p>
    <w:p w:rsidR="003E57C0" w:rsidRDefault="00FC380F">
      <w:pPr>
        <w:rPr>
          <w:sz w:val="24"/>
          <w:szCs w:val="24"/>
        </w:rPr>
      </w:pPr>
      <w:r>
        <w:rPr>
          <w:sz w:val="24"/>
          <w:szCs w:val="24"/>
        </w:rPr>
        <w:t xml:space="preserve"> </w:t>
      </w:r>
      <w:r w:rsidR="00400BE3">
        <w:sym w:font="Wingdings" w:char="F06D"/>
      </w:r>
      <w:r>
        <w:rPr>
          <w:sz w:val="24"/>
          <w:szCs w:val="24"/>
        </w:rPr>
        <w:t xml:space="preserve"> </w:t>
      </w:r>
      <w:r w:rsidR="00400BE3">
        <w:rPr>
          <w:sz w:val="24"/>
          <w:szCs w:val="24"/>
        </w:rPr>
        <w:t>How to interpret data from Morningstar Principia specifically, and also other hypo database programs.</w:t>
      </w:r>
    </w:p>
    <w:p w:rsidR="003E57C0" w:rsidRDefault="003E57C0">
      <w:pPr>
        <w:rPr>
          <w:sz w:val="24"/>
          <w:szCs w:val="24"/>
        </w:rPr>
      </w:pPr>
    </w:p>
    <w:p w:rsidR="003E57C0" w:rsidRDefault="00FC380F">
      <w:pPr>
        <w:rPr>
          <w:sz w:val="24"/>
          <w:szCs w:val="24"/>
        </w:rPr>
      </w:pPr>
      <w:r>
        <w:rPr>
          <w:sz w:val="24"/>
          <w:szCs w:val="24"/>
        </w:rPr>
        <w:t xml:space="preserve"> </w:t>
      </w:r>
      <w:r w:rsidR="00400BE3">
        <w:sym w:font="Wingdings" w:char="F06D"/>
      </w:r>
      <w:r>
        <w:rPr>
          <w:sz w:val="24"/>
          <w:szCs w:val="24"/>
        </w:rPr>
        <w:t xml:space="preserve"> </w:t>
      </w:r>
      <w:r w:rsidR="00400BE3">
        <w:rPr>
          <w:sz w:val="24"/>
          <w:szCs w:val="24"/>
        </w:rPr>
        <w:t>How to compare Mutual Funds and Variable Annuity subaccounts on an “apples to apples” basis.</w:t>
      </w:r>
    </w:p>
    <w:p w:rsidR="003E57C0" w:rsidRDefault="003E57C0">
      <w:pPr>
        <w:rPr>
          <w:sz w:val="24"/>
          <w:szCs w:val="24"/>
        </w:rPr>
      </w:pPr>
    </w:p>
    <w:p w:rsidR="003E57C0" w:rsidRDefault="003E57C0">
      <w:pPr>
        <w:rPr>
          <w:sz w:val="24"/>
          <w:szCs w:val="24"/>
        </w:rPr>
      </w:pPr>
    </w:p>
    <w:p w:rsidR="003E57C0" w:rsidRDefault="003E57C0">
      <w:pPr>
        <w:rPr>
          <w:sz w:val="24"/>
          <w:szCs w:val="24"/>
        </w:rPr>
      </w:pPr>
    </w:p>
    <w:p w:rsidR="003E57C0" w:rsidRDefault="00400BE3">
      <w:pPr>
        <w:rPr>
          <w:sz w:val="24"/>
          <w:szCs w:val="24"/>
        </w:rPr>
      </w:pPr>
      <w:r>
        <w:rPr>
          <w:sz w:val="24"/>
          <w:szCs w:val="24"/>
        </w:rPr>
        <w:t>__________________________________________________________________________________________</w:t>
      </w:r>
    </w:p>
    <w:p w:rsidR="003E57C0" w:rsidRDefault="003E57C0">
      <w:pPr>
        <w:rPr>
          <w:sz w:val="24"/>
          <w:szCs w:val="24"/>
        </w:rPr>
      </w:pPr>
    </w:p>
    <w:p w:rsidR="003E57C0" w:rsidRDefault="003E57C0">
      <w:pPr>
        <w:rPr>
          <w:sz w:val="24"/>
          <w:szCs w:val="24"/>
        </w:rPr>
      </w:pPr>
    </w:p>
    <w:p w:rsidR="003E57C0" w:rsidRDefault="003E57C0">
      <w:pPr>
        <w:rPr>
          <w:sz w:val="24"/>
          <w:szCs w:val="24"/>
        </w:rPr>
      </w:pPr>
    </w:p>
    <w:p w:rsidR="003E57C0" w:rsidRDefault="003E57C0">
      <w:pPr>
        <w:rPr>
          <w:sz w:val="24"/>
          <w:szCs w:val="24"/>
        </w:rPr>
      </w:pPr>
    </w:p>
    <w:p w:rsidR="003E57C0" w:rsidRDefault="00400BE3">
      <w:pPr>
        <w:jc w:val="center"/>
        <w:rPr>
          <w:sz w:val="24"/>
          <w:szCs w:val="24"/>
        </w:rPr>
      </w:pPr>
      <w:r>
        <w:rPr>
          <w:b/>
          <w:bCs/>
          <w:sz w:val="28"/>
          <w:szCs w:val="28"/>
        </w:rPr>
        <w:t>Interpreting Mutual Fund &amp; Variable Annuity Database Information</w:t>
      </w:r>
    </w:p>
    <w:p w:rsidR="003E57C0" w:rsidRDefault="003E57C0">
      <w:pPr>
        <w:rPr>
          <w:sz w:val="24"/>
          <w:szCs w:val="24"/>
        </w:rPr>
      </w:pPr>
    </w:p>
    <w:p w:rsidR="003E57C0" w:rsidRDefault="003E57C0">
      <w:pPr>
        <w:rPr>
          <w:sz w:val="24"/>
          <w:szCs w:val="24"/>
        </w:rPr>
      </w:pPr>
    </w:p>
    <w:p w:rsidR="003E57C0" w:rsidRDefault="003E57C0">
      <w:pPr>
        <w:rPr>
          <w:sz w:val="24"/>
          <w:szCs w:val="24"/>
        </w:rPr>
      </w:pPr>
    </w:p>
    <w:p w:rsidR="003E57C0" w:rsidRDefault="003E57C0" w:rsidP="0046256C">
      <w:pPr>
        <w:jc w:val="both"/>
        <w:rPr>
          <w:sz w:val="24"/>
          <w:szCs w:val="24"/>
        </w:rPr>
      </w:pPr>
    </w:p>
    <w:p w:rsidR="003E57C0" w:rsidRDefault="00400BE3" w:rsidP="0046256C">
      <w:pPr>
        <w:jc w:val="both"/>
        <w:rPr>
          <w:sz w:val="24"/>
          <w:szCs w:val="24"/>
        </w:rPr>
      </w:pPr>
      <w:r>
        <w:rPr>
          <w:sz w:val="24"/>
          <w:szCs w:val="24"/>
          <w:u w:val="single"/>
        </w:rPr>
        <w:t>Benchmark Index:</w:t>
      </w:r>
      <w:r>
        <w:rPr>
          <w:sz w:val="24"/>
          <w:szCs w:val="24"/>
        </w:rPr>
        <w:t xml:space="preserve"> This term is mentioned first because it’s at the center of most fund and subaccount comparisons.</w:t>
      </w:r>
      <w:r w:rsidR="00FC380F">
        <w:rPr>
          <w:sz w:val="24"/>
          <w:szCs w:val="24"/>
        </w:rPr>
        <w:t xml:space="preserve"> </w:t>
      </w:r>
      <w:r>
        <w:rPr>
          <w:sz w:val="24"/>
          <w:szCs w:val="24"/>
        </w:rPr>
        <w:t>A benchmark index, or just a benchmark or just an index, is usually either a market index or</w:t>
      </w:r>
      <w:r w:rsidR="00FC380F">
        <w:rPr>
          <w:sz w:val="24"/>
          <w:szCs w:val="24"/>
        </w:rPr>
        <w:t xml:space="preserve"> </w:t>
      </w:r>
      <w:r>
        <w:rPr>
          <w:sz w:val="24"/>
          <w:szCs w:val="24"/>
        </w:rPr>
        <w:t>just an average of a whole investment category. An example of a market index would be the S&amp;P500. An example of an average would be taking all of the Variable Annuity subaccounts with the same investment objective (like Balanced) and then getting an average of some performance number. Here’s an analogy: Say that a particular cow you have produces 1 gallon</w:t>
      </w:r>
      <w:r w:rsidR="00FC380F">
        <w:rPr>
          <w:sz w:val="24"/>
          <w:szCs w:val="24"/>
        </w:rPr>
        <w:t xml:space="preserve"> </w:t>
      </w:r>
      <w:r>
        <w:rPr>
          <w:sz w:val="24"/>
          <w:szCs w:val="24"/>
        </w:rPr>
        <w:t>of milk and you feel this is the average for this breed of cow. If you wanted to compare other</w:t>
      </w:r>
      <w:r w:rsidR="00FC380F">
        <w:rPr>
          <w:sz w:val="24"/>
          <w:szCs w:val="24"/>
        </w:rPr>
        <w:t xml:space="preserve"> </w:t>
      </w:r>
      <w:r>
        <w:rPr>
          <w:sz w:val="24"/>
          <w:szCs w:val="24"/>
        </w:rPr>
        <w:t>cows of the same breed to this particular “average” cow, then this particular cow would be the</w:t>
      </w:r>
      <w:r w:rsidR="00FC380F">
        <w:rPr>
          <w:sz w:val="24"/>
          <w:szCs w:val="24"/>
        </w:rPr>
        <w:t xml:space="preserve"> </w:t>
      </w:r>
      <w:r>
        <w:rPr>
          <w:sz w:val="24"/>
          <w:szCs w:val="24"/>
        </w:rPr>
        <w:t>benchmark cow. Another important concept that will be used later in this memo is called</w:t>
      </w:r>
      <w:r w:rsidR="00FC380F">
        <w:rPr>
          <w:sz w:val="24"/>
          <w:szCs w:val="24"/>
        </w:rPr>
        <w:t xml:space="preserve"> </w:t>
      </w:r>
      <w:r>
        <w:rPr>
          <w:sz w:val="24"/>
          <w:szCs w:val="24"/>
        </w:rPr>
        <w:t>benchmark error. Getting strange results from comparing the benchmark cow to a different</w:t>
      </w:r>
      <w:r w:rsidR="00FC380F">
        <w:rPr>
          <w:sz w:val="24"/>
          <w:szCs w:val="24"/>
        </w:rPr>
        <w:t xml:space="preserve"> </w:t>
      </w:r>
      <w:r>
        <w:rPr>
          <w:sz w:val="24"/>
          <w:szCs w:val="24"/>
        </w:rPr>
        <w:t>animal, or even a different breed of cow (comparing a Holstein to an Angus) would be an</w:t>
      </w:r>
      <w:r w:rsidR="00FC380F">
        <w:rPr>
          <w:sz w:val="24"/>
          <w:szCs w:val="24"/>
        </w:rPr>
        <w:t xml:space="preserve"> </w:t>
      </w:r>
      <w:r>
        <w:rPr>
          <w:sz w:val="24"/>
          <w:szCs w:val="24"/>
        </w:rPr>
        <w:t xml:space="preserve">example of benchmark error. </w:t>
      </w:r>
    </w:p>
    <w:p w:rsidR="00FC380F" w:rsidRDefault="00400BE3">
      <w:pPr>
        <w:rPr>
          <w:sz w:val="24"/>
          <w:szCs w:val="24"/>
        </w:rPr>
      </w:pPr>
      <w:r>
        <w:rPr>
          <w:sz w:val="24"/>
          <w:szCs w:val="24"/>
        </w:rPr>
        <w:t xml:space="preserve"> </w:t>
      </w:r>
    </w:p>
    <w:p w:rsidR="00FC380F" w:rsidRDefault="00FC380F">
      <w:pPr>
        <w:autoSpaceDE/>
        <w:autoSpaceDN/>
        <w:spacing w:after="200" w:line="276" w:lineRule="auto"/>
        <w:rPr>
          <w:sz w:val="24"/>
          <w:szCs w:val="24"/>
        </w:rPr>
      </w:pPr>
      <w:r>
        <w:rPr>
          <w:sz w:val="24"/>
          <w:szCs w:val="24"/>
        </w:rPr>
        <w:br w:type="page"/>
      </w:r>
    </w:p>
    <w:p w:rsidR="003E57C0" w:rsidRDefault="003E57C0">
      <w:pPr>
        <w:rPr>
          <w:sz w:val="24"/>
          <w:szCs w:val="24"/>
        </w:rPr>
      </w:pPr>
    </w:p>
    <w:p w:rsidR="003E57C0" w:rsidRDefault="003E57C0">
      <w:pPr>
        <w:rPr>
          <w:sz w:val="24"/>
          <w:szCs w:val="24"/>
        </w:rPr>
      </w:pPr>
    </w:p>
    <w:p w:rsidR="003E57C0" w:rsidRDefault="00400BE3">
      <w:pPr>
        <w:rPr>
          <w:sz w:val="24"/>
          <w:szCs w:val="24"/>
        </w:rPr>
      </w:pPr>
      <w:r>
        <w:rPr>
          <w:sz w:val="24"/>
          <w:szCs w:val="24"/>
          <w:u w:val="single"/>
        </w:rPr>
        <w:t>Total return:</w:t>
      </w:r>
      <w:r>
        <w:rPr>
          <w:sz w:val="24"/>
          <w:szCs w:val="24"/>
        </w:rPr>
        <w:t xml:space="preserve"> 1 month, 3 month, 12 month, 3 year, 5 year, 10 year, and 15 year time frame.</w:t>
      </w:r>
      <w:r w:rsidR="00FC380F">
        <w:rPr>
          <w:sz w:val="24"/>
          <w:szCs w:val="24"/>
        </w:rPr>
        <w:t xml:space="preserve"> </w:t>
      </w:r>
      <w:r>
        <w:rPr>
          <w:sz w:val="24"/>
          <w:szCs w:val="24"/>
        </w:rPr>
        <w:t xml:space="preserve">Most publishers </w:t>
      </w:r>
    </w:p>
    <w:p w:rsidR="003E57C0" w:rsidRDefault="00FC380F">
      <w:pPr>
        <w:rPr>
          <w:sz w:val="24"/>
          <w:szCs w:val="24"/>
        </w:rPr>
      </w:pPr>
      <w:r>
        <w:rPr>
          <w:sz w:val="24"/>
          <w:szCs w:val="24"/>
        </w:rPr>
        <w:t xml:space="preserve"> </w:t>
      </w:r>
      <w:r w:rsidR="00400BE3">
        <w:rPr>
          <w:sz w:val="24"/>
          <w:szCs w:val="24"/>
        </w:rPr>
        <w:t xml:space="preserve">calculate ROR (rate of return) over a given time frame using this formula: </w:t>
      </w:r>
    </w:p>
    <w:p w:rsidR="00FC380F" w:rsidRDefault="00286951">
      <w:pPr>
        <w:rPr>
          <w:sz w:val="24"/>
          <w:szCs w:val="24"/>
        </w:rPr>
      </w:pPr>
      <w:r>
        <w:rPr>
          <w:noProof/>
        </w:rPr>
        <w:pict>
          <v:shape id="_x0000_s1029" style="position:absolute;margin-left:510.15pt;margin-top:9.65pt;width:14.65pt;height:56.4pt;z-index:251658752;mso-position-horizontal-relative:text;mso-position-vertical-relative:text" coordsize="20000,20000" o:allowincell="f" path="m7099,r,372l8532,1117r2867,727l12833,2961r1433,372l14266,3706r1434,372l15700,4805r1365,372l17065,5922r1433,372l18498,6667r1434,372l19932,14060r-1434,l18498,15177r-1433,373l17065,15904r-1365,l15700,16277r-2867,744l12833,17394r-1434,l11399,17766r-2867,l8532,18138r-1433,373l5734,18511r-1434,354l2867,18865r,745l,19610r,372l2867,18865e" fillcolor="#ccc" strokeweight="2pt">
            <v:stroke startarrowwidth="narrow" startarrowlength="short" endarrowwidth="narrow" endarrowlength="short"/>
            <v:path arrowok="t"/>
          </v:shape>
        </w:pict>
      </w:r>
      <w:r>
        <w:rPr>
          <w:noProof/>
        </w:rPr>
        <w:pict>
          <v:shape id="_x0000_s1028" style="position:absolute;margin-left:532.55pt;margin-top:9.2pt;width:14.65pt;height:56.4pt;z-index:251659776;mso-position-horizontal-relative:text;mso-position-vertical-relative:text" coordsize="20000,20000" o:allowincell="f" path="m7099,r,372l8532,1117r2867,727l12833,2961r1433,372l14266,3706r1434,372l15700,4805r1365,372l17065,5922r1433,372l18498,6667r1434,372l19932,14060r-1434,l18498,15177r-1433,373l17065,15904r-1365,l15700,16277r-2867,744l12833,17394r-1434,l11399,17766r-2867,l8532,18138r-1433,373l5734,18511r-1434,354l2867,18865r,745l,19610r,372l2867,18865e" fillcolor="#ccc" strokeweight="2pt">
            <v:stroke startarrowwidth="narrow" startarrowlength="short" endarrowwidth="narrow" endarrowlength="short"/>
            <v:path arrowok="t"/>
          </v:shape>
        </w:pict>
      </w:r>
      <w:r>
        <w:rPr>
          <w:noProof/>
        </w:rPr>
        <w:pict>
          <v:shape id="_x0000_s1030" style="position:absolute;margin-left:-.7pt;margin-top:8.6pt;width:14.7pt;height:54.3pt;z-index:251657728;mso-position-horizontal-relative:text;mso-position-vertical-relative:text" coordsize="20000,20000" o:allowincell="f" path="m19932,l12789,,11361,387,8571,773r-1428,l5714,1529r,386l4286,2302r-1429,l2857,3076,1429,3462r,1142l,4991,,15378r1429,l1429,16519r1428,387l2857,17293r1429,387l4286,18066r1428,l5714,18453r1429,387l7143,19208r2857,l10000,19595r1361,387l18503,19982r-5714,e" fillcolor="#ccc" strokeweight="2pt">
            <v:stroke startarrowwidth="narrow" startarrowlength="short" endarrowwidth="narrow" endarrowlength="short"/>
            <v:path arrowok="t"/>
          </v:shape>
        </w:pict>
      </w:r>
      <w:r w:rsidR="00FC380F">
        <w:rPr>
          <w:sz w:val="24"/>
          <w:szCs w:val="24"/>
        </w:rPr>
        <w:t xml:space="preserve"> </w:t>
      </w:r>
    </w:p>
    <w:p w:rsidR="003E57C0" w:rsidRDefault="00400BE3">
      <w:pPr>
        <w:rPr>
          <w:sz w:val="24"/>
          <w:szCs w:val="24"/>
        </w:rPr>
      </w:pPr>
      <w:r>
        <w:rPr>
          <w:sz w:val="24"/>
          <w:szCs w:val="24"/>
        </w:rPr>
        <w:t>T</w:t>
      </w:r>
    </w:p>
    <w:p w:rsidR="003E57C0" w:rsidRDefault="003E57C0">
      <w:pPr>
        <w:rPr>
          <w:sz w:val="24"/>
          <w:szCs w:val="24"/>
        </w:rPr>
      </w:pPr>
    </w:p>
    <w:p w:rsidR="003E57C0" w:rsidRPr="00FC380F" w:rsidRDefault="0046256C">
      <w:pPr>
        <w:rPr>
          <w:sz w:val="24"/>
          <w:szCs w:val="24"/>
          <w:u w:val="single"/>
        </w:rPr>
      </w:pPr>
      <w:r>
        <w:rPr>
          <w:sz w:val="24"/>
          <w:szCs w:val="24"/>
          <w:u w:val="single"/>
        </w:rPr>
        <w:t xml:space="preserve"> </w:t>
      </w:r>
      <w:r w:rsidR="00DC3357">
        <w:rPr>
          <w:sz w:val="24"/>
          <w:szCs w:val="24"/>
          <w:u w:val="single"/>
        </w:rPr>
        <w:t xml:space="preserve"> </w:t>
      </w:r>
      <w:r w:rsidR="00400BE3">
        <w:rPr>
          <w:sz w:val="24"/>
          <w:szCs w:val="24"/>
          <w:u w:val="single"/>
        </w:rPr>
        <w:t>Ending NAV - Beginning NAV - 12b-1 - Management fees + Reinvested dividends and capital gains</w:t>
      </w:r>
      <w:r w:rsidR="00DC3357">
        <w:rPr>
          <w:sz w:val="24"/>
          <w:szCs w:val="24"/>
          <w:u w:val="single"/>
        </w:rPr>
        <w:t xml:space="preserve"> </w:t>
      </w:r>
      <w:r w:rsidR="00400BE3">
        <w:rPr>
          <w:sz w:val="24"/>
          <w:szCs w:val="24"/>
        </w:rPr>
        <w:t>-1</w:t>
      </w:r>
    </w:p>
    <w:p w:rsidR="003E57C0" w:rsidRDefault="00FC380F">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00BE3">
        <w:rPr>
          <w:sz w:val="24"/>
          <w:szCs w:val="24"/>
        </w:rPr>
        <w:t>Beginning NAV</w:t>
      </w:r>
    </w:p>
    <w:p w:rsidR="003E57C0" w:rsidRDefault="003E57C0">
      <w:pPr>
        <w:rPr>
          <w:sz w:val="24"/>
          <w:szCs w:val="24"/>
        </w:rPr>
      </w:pPr>
    </w:p>
    <w:p w:rsidR="003E57C0" w:rsidRDefault="00400BE3" w:rsidP="00FC380F">
      <w:pPr>
        <w:jc w:val="both"/>
        <w:rPr>
          <w:sz w:val="24"/>
          <w:szCs w:val="24"/>
        </w:rPr>
      </w:pPr>
      <w:r>
        <w:rPr>
          <w:sz w:val="24"/>
          <w:szCs w:val="24"/>
        </w:rPr>
        <w:t>Where the exponent, T, is the time period. For 1 year, T would be 1; for</w:t>
      </w:r>
      <w:r w:rsidR="00FC380F">
        <w:rPr>
          <w:sz w:val="24"/>
          <w:szCs w:val="24"/>
        </w:rPr>
        <w:t xml:space="preserve"> </w:t>
      </w:r>
      <w:r>
        <w:rPr>
          <w:sz w:val="24"/>
          <w:szCs w:val="24"/>
        </w:rPr>
        <w:t>10 years T would be 10, and for 3 months T would be 0.25.</w:t>
      </w:r>
      <w:r w:rsidR="00FC380F">
        <w:rPr>
          <w:sz w:val="24"/>
          <w:szCs w:val="24"/>
        </w:rPr>
        <w:t xml:space="preserve"> </w:t>
      </w:r>
      <w:r>
        <w:rPr>
          <w:sz w:val="24"/>
          <w:szCs w:val="24"/>
        </w:rPr>
        <w:t>All time periods (12 month to 15 years) are annual compounded RORs from the time of the latest software update (currently 3/31/96), back in time. So a 12 month ROR is from 3/31/95 to 3/31/96,</w:t>
      </w:r>
      <w:r w:rsidR="00FC380F">
        <w:rPr>
          <w:sz w:val="24"/>
          <w:szCs w:val="24"/>
        </w:rPr>
        <w:t xml:space="preserve"> </w:t>
      </w:r>
      <w:r>
        <w:rPr>
          <w:sz w:val="24"/>
          <w:szCs w:val="24"/>
        </w:rPr>
        <w:t>1 month is from 3/1/96 to 3/31/96, and so on. Time periods less than 1 year are not raised to the power of T because they’re not an annual compounded ROR (it’s just the ROR in that time period).</w:t>
      </w:r>
    </w:p>
    <w:p w:rsidR="003E57C0" w:rsidRDefault="003E57C0" w:rsidP="00FC380F">
      <w:pPr>
        <w:jc w:val="both"/>
        <w:rPr>
          <w:sz w:val="24"/>
          <w:szCs w:val="24"/>
        </w:rPr>
      </w:pPr>
    </w:p>
    <w:p w:rsidR="003E57C0" w:rsidRDefault="00400BE3" w:rsidP="00FC380F">
      <w:pPr>
        <w:jc w:val="both"/>
        <w:rPr>
          <w:sz w:val="24"/>
          <w:szCs w:val="24"/>
        </w:rPr>
      </w:pPr>
      <w:r>
        <w:rPr>
          <w:sz w:val="24"/>
          <w:szCs w:val="24"/>
          <w:u w:val="single"/>
        </w:rPr>
        <w:t>% Rank in Objective:</w:t>
      </w:r>
      <w:r>
        <w:rPr>
          <w:sz w:val="24"/>
          <w:szCs w:val="24"/>
        </w:rPr>
        <w:t xml:space="preserve"> This is an apples to apples comparison. The fund is compared to all other funds with the </w:t>
      </w:r>
    </w:p>
    <w:p w:rsidR="003E57C0" w:rsidRDefault="00FC380F" w:rsidP="00FC380F">
      <w:pPr>
        <w:jc w:val="both"/>
        <w:rPr>
          <w:sz w:val="24"/>
          <w:szCs w:val="24"/>
        </w:rPr>
      </w:pPr>
      <w:r>
        <w:rPr>
          <w:sz w:val="24"/>
          <w:szCs w:val="24"/>
        </w:rPr>
        <w:t xml:space="preserve"> </w:t>
      </w:r>
      <w:r w:rsidR="00400BE3">
        <w:rPr>
          <w:sz w:val="24"/>
          <w:szCs w:val="24"/>
        </w:rPr>
        <w:t>same investment objective and ranked as to where its performance fell in that time period.</w:t>
      </w:r>
      <w:r>
        <w:rPr>
          <w:sz w:val="24"/>
          <w:szCs w:val="24"/>
        </w:rPr>
        <w:t xml:space="preserve"> </w:t>
      </w:r>
      <w:r w:rsidR="00400BE3">
        <w:rPr>
          <w:sz w:val="24"/>
          <w:szCs w:val="24"/>
        </w:rPr>
        <w:t>The best fund in its objective category would be #1.</w:t>
      </w:r>
    </w:p>
    <w:p w:rsidR="003E57C0" w:rsidRDefault="003E57C0" w:rsidP="00FC380F">
      <w:pPr>
        <w:jc w:val="both"/>
        <w:rPr>
          <w:sz w:val="24"/>
          <w:szCs w:val="24"/>
          <w:u w:val="single"/>
        </w:rPr>
      </w:pPr>
    </w:p>
    <w:p w:rsidR="003E57C0" w:rsidRDefault="00400BE3" w:rsidP="00FC380F">
      <w:pPr>
        <w:jc w:val="both"/>
        <w:rPr>
          <w:sz w:val="24"/>
          <w:szCs w:val="24"/>
        </w:rPr>
      </w:pPr>
      <w:r>
        <w:rPr>
          <w:sz w:val="24"/>
          <w:szCs w:val="24"/>
          <w:u w:val="single"/>
        </w:rPr>
        <w:t>Specific Year Annual Returns (E.G.- The ROR for 1994):</w:t>
      </w:r>
      <w:r>
        <w:rPr>
          <w:sz w:val="24"/>
          <w:szCs w:val="24"/>
        </w:rPr>
        <w:t xml:space="preserve"> This is just what it says and uses the formula given</w:t>
      </w:r>
      <w:r w:rsidR="00DC3357">
        <w:rPr>
          <w:sz w:val="24"/>
          <w:szCs w:val="24"/>
        </w:rPr>
        <w:t xml:space="preserve"> </w:t>
      </w:r>
      <w:r>
        <w:rPr>
          <w:sz w:val="24"/>
          <w:szCs w:val="24"/>
        </w:rPr>
        <w:t>above.</w:t>
      </w:r>
    </w:p>
    <w:p w:rsidR="003E57C0" w:rsidRDefault="003E57C0" w:rsidP="00FC380F">
      <w:pPr>
        <w:jc w:val="both"/>
        <w:rPr>
          <w:sz w:val="24"/>
          <w:szCs w:val="24"/>
          <w:u w:val="single"/>
        </w:rPr>
      </w:pPr>
    </w:p>
    <w:p w:rsidR="003E57C0" w:rsidRDefault="00400BE3" w:rsidP="00FC380F">
      <w:pPr>
        <w:jc w:val="both"/>
        <w:rPr>
          <w:sz w:val="24"/>
          <w:szCs w:val="24"/>
        </w:rPr>
      </w:pPr>
      <w:r>
        <w:rPr>
          <w:sz w:val="24"/>
          <w:szCs w:val="24"/>
          <w:u w:val="single"/>
        </w:rPr>
        <w:t>Morningstar Ratings:</w:t>
      </w:r>
      <w:r>
        <w:rPr>
          <w:sz w:val="24"/>
          <w:szCs w:val="24"/>
        </w:rPr>
        <w:t xml:space="preserve"> This is too long of a story to list here, but you can look these up in their manuals. It’s their</w:t>
      </w:r>
      <w:r w:rsidR="00DC3357">
        <w:rPr>
          <w:sz w:val="24"/>
          <w:szCs w:val="24"/>
        </w:rPr>
        <w:t xml:space="preserve"> </w:t>
      </w:r>
      <w:r>
        <w:rPr>
          <w:sz w:val="24"/>
          <w:szCs w:val="24"/>
        </w:rPr>
        <w:t xml:space="preserve">way of rating funds given their criteria, which changes every once in a while. It basically calculates performance using the risk free ROR (RF). It’s complicated, and most of the time it’s not an apples to apples comparison because of the reasons given in the next section. </w:t>
      </w:r>
    </w:p>
    <w:p w:rsidR="003E57C0" w:rsidRDefault="003E57C0" w:rsidP="00FC380F">
      <w:pPr>
        <w:jc w:val="both"/>
        <w:rPr>
          <w:sz w:val="24"/>
          <w:szCs w:val="24"/>
          <w:u w:val="single"/>
        </w:rPr>
      </w:pPr>
    </w:p>
    <w:p w:rsidR="003E57C0" w:rsidRDefault="00400BE3" w:rsidP="00FC380F">
      <w:pPr>
        <w:jc w:val="both"/>
        <w:rPr>
          <w:sz w:val="24"/>
          <w:szCs w:val="24"/>
        </w:rPr>
      </w:pPr>
      <w:r>
        <w:rPr>
          <w:sz w:val="24"/>
          <w:szCs w:val="24"/>
          <w:u w:val="single"/>
        </w:rPr>
        <w:t>Sharpe Ratio:</w:t>
      </w:r>
      <w:r w:rsidR="00FC380F">
        <w:rPr>
          <w:sz w:val="24"/>
          <w:szCs w:val="24"/>
        </w:rPr>
        <w:t xml:space="preserve"> </w:t>
      </w:r>
      <w:r>
        <w:rPr>
          <w:sz w:val="24"/>
          <w:szCs w:val="24"/>
        </w:rPr>
        <w:t xml:space="preserve">This is complex too, but it’s apples to apples so it is useful. This is a measure of an investment’s “risk premium per unit of total risk.” Because it uses </w:t>
      </w:r>
      <w:r>
        <w:rPr>
          <w:rFonts w:ascii="Symbol" w:hAnsi="Symbol" w:cs="Symbol"/>
          <w:spacing w:val="-2"/>
        </w:rPr>
        <w:t></w:t>
      </w:r>
      <w:r>
        <w:rPr>
          <w:sz w:val="24"/>
          <w:szCs w:val="24"/>
        </w:rPr>
        <w:t xml:space="preserve"> (standard deviation) instead of</w:t>
      </w:r>
      <w:r w:rsidR="00FC380F">
        <w:rPr>
          <w:sz w:val="24"/>
          <w:szCs w:val="24"/>
        </w:rPr>
        <w:t xml:space="preserve"> </w:t>
      </w:r>
      <w:r>
        <w:rPr>
          <w:rFonts w:ascii="Symbol" w:hAnsi="Symbol" w:cs="Symbol"/>
          <w:sz w:val="24"/>
          <w:szCs w:val="24"/>
        </w:rPr>
        <w:sym w:font="Symbol" w:char="F062"/>
      </w:r>
      <w:r>
        <w:rPr>
          <w:sz w:val="24"/>
          <w:szCs w:val="24"/>
        </w:rPr>
        <w:t xml:space="preserve"> (Beta), it </w:t>
      </w:r>
      <w:r w:rsidR="00FC380F">
        <w:rPr>
          <w:sz w:val="24"/>
          <w:szCs w:val="24"/>
        </w:rPr>
        <w:t xml:space="preserve">measures both total </w:t>
      </w:r>
      <w:r>
        <w:rPr>
          <w:sz w:val="24"/>
          <w:szCs w:val="24"/>
        </w:rPr>
        <w:t>return and diversification. For comparison purposes, all you really need to know is that higher</w:t>
      </w:r>
      <w:r w:rsidR="00FC380F">
        <w:rPr>
          <w:sz w:val="24"/>
          <w:szCs w:val="24"/>
        </w:rPr>
        <w:t xml:space="preserve"> </w:t>
      </w:r>
      <w:r>
        <w:rPr>
          <w:sz w:val="24"/>
          <w:szCs w:val="24"/>
        </w:rPr>
        <w:t>numbers are better. Higher numbers mean a more “efficient” portfolio. Don’t put too much weight in it because it’s just a gross measure of relative performance.</w:t>
      </w:r>
    </w:p>
    <w:p w:rsidR="003E57C0" w:rsidRDefault="003E57C0" w:rsidP="00FC380F">
      <w:pPr>
        <w:jc w:val="both"/>
        <w:rPr>
          <w:sz w:val="24"/>
          <w:szCs w:val="24"/>
        </w:rPr>
      </w:pPr>
    </w:p>
    <w:p w:rsidR="003E57C0" w:rsidRDefault="00400BE3" w:rsidP="00FC380F">
      <w:pPr>
        <w:jc w:val="center"/>
        <w:rPr>
          <w:b/>
          <w:bCs/>
          <w:sz w:val="24"/>
          <w:szCs w:val="24"/>
        </w:rPr>
      </w:pPr>
      <w:r>
        <w:rPr>
          <w:b/>
          <w:bCs/>
          <w:sz w:val="24"/>
          <w:szCs w:val="24"/>
        </w:rPr>
        <w:t>The following are called “Modern Portfolio Statistics”, and ARE NOT apples to apples</w:t>
      </w:r>
    </w:p>
    <w:p w:rsidR="003E57C0" w:rsidRDefault="00400BE3" w:rsidP="00FC380F">
      <w:pPr>
        <w:jc w:val="center"/>
        <w:rPr>
          <w:b/>
          <w:bCs/>
          <w:sz w:val="24"/>
          <w:szCs w:val="24"/>
        </w:rPr>
      </w:pPr>
      <w:r>
        <w:rPr>
          <w:b/>
          <w:bCs/>
          <w:sz w:val="24"/>
          <w:szCs w:val="24"/>
        </w:rPr>
        <w:t>comparisons</w:t>
      </w:r>
      <w:r w:rsidR="00FC380F">
        <w:rPr>
          <w:b/>
          <w:bCs/>
          <w:sz w:val="24"/>
          <w:szCs w:val="24"/>
        </w:rPr>
        <w:t xml:space="preserve"> </w:t>
      </w:r>
      <w:r>
        <w:rPr>
          <w:b/>
          <w:bCs/>
          <w:sz w:val="24"/>
          <w:szCs w:val="24"/>
        </w:rPr>
        <w:t>using Principia (you need Principia Plus to do apples and apples):</w:t>
      </w:r>
    </w:p>
    <w:p w:rsidR="003E57C0" w:rsidRDefault="003E57C0" w:rsidP="00FC380F">
      <w:pPr>
        <w:jc w:val="both"/>
        <w:rPr>
          <w:sz w:val="24"/>
          <w:szCs w:val="24"/>
        </w:rPr>
      </w:pPr>
    </w:p>
    <w:p w:rsidR="003E57C0" w:rsidRDefault="00400BE3" w:rsidP="00FC380F">
      <w:pPr>
        <w:jc w:val="both"/>
        <w:rPr>
          <w:sz w:val="24"/>
          <w:szCs w:val="24"/>
        </w:rPr>
      </w:pPr>
      <w:r>
        <w:rPr>
          <w:sz w:val="24"/>
          <w:szCs w:val="24"/>
          <w:u w:val="single"/>
        </w:rPr>
        <w:t>R</w:t>
      </w:r>
      <w:r>
        <w:rPr>
          <w:sz w:val="24"/>
          <w:szCs w:val="24"/>
          <w:vertAlign w:val="superscript"/>
        </w:rPr>
        <w:t>2</w:t>
      </w:r>
      <w:r>
        <w:rPr>
          <w:sz w:val="24"/>
          <w:szCs w:val="24"/>
        </w:rPr>
        <w:t>: I’m using this stat first because it’s at the root of most problems in making investment comparisons. R</w:t>
      </w:r>
      <w:r>
        <w:rPr>
          <w:sz w:val="24"/>
          <w:szCs w:val="24"/>
          <w:vertAlign w:val="superscript"/>
        </w:rPr>
        <w:t xml:space="preserve">2 </w:t>
      </w:r>
      <w:r>
        <w:rPr>
          <w:sz w:val="24"/>
          <w:szCs w:val="24"/>
        </w:rPr>
        <w:t>is a</w:t>
      </w:r>
      <w:r w:rsidR="00DC3357">
        <w:rPr>
          <w:sz w:val="24"/>
          <w:szCs w:val="24"/>
        </w:rPr>
        <w:t xml:space="preserve"> </w:t>
      </w:r>
      <w:r>
        <w:rPr>
          <w:sz w:val="24"/>
          <w:szCs w:val="24"/>
        </w:rPr>
        <w:t>statistic used in regression analysis. Regression analysis is used to compare the variation in one thing to that of</w:t>
      </w:r>
      <w:r w:rsidR="00DC3357">
        <w:rPr>
          <w:sz w:val="24"/>
          <w:szCs w:val="24"/>
        </w:rPr>
        <w:t xml:space="preserve"> </w:t>
      </w:r>
      <w:r>
        <w:rPr>
          <w:sz w:val="24"/>
          <w:szCs w:val="24"/>
        </w:rPr>
        <w:t>another for the purpose of trying to predict how one thing will react to changes in the other thing. Its long name</w:t>
      </w:r>
      <w:r w:rsidR="00FC380F">
        <w:rPr>
          <w:sz w:val="24"/>
          <w:szCs w:val="24"/>
        </w:rPr>
        <w:t xml:space="preserve"> </w:t>
      </w:r>
      <w:r>
        <w:rPr>
          <w:sz w:val="24"/>
          <w:szCs w:val="24"/>
        </w:rPr>
        <w:t>is the “coefficient of determination” because its purpose is to determine the relationship between things.</w:t>
      </w:r>
    </w:p>
    <w:p w:rsidR="002E723A" w:rsidRDefault="002E723A" w:rsidP="00FC380F">
      <w:pPr>
        <w:jc w:val="both"/>
        <w:rPr>
          <w:sz w:val="24"/>
          <w:szCs w:val="24"/>
        </w:rPr>
      </w:pPr>
    </w:p>
    <w:p w:rsidR="003E57C0" w:rsidRDefault="00FC380F" w:rsidP="00FC380F">
      <w:pPr>
        <w:jc w:val="both"/>
        <w:rPr>
          <w:sz w:val="24"/>
          <w:szCs w:val="24"/>
        </w:rPr>
      </w:pPr>
      <w:r>
        <w:rPr>
          <w:sz w:val="24"/>
          <w:szCs w:val="24"/>
        </w:rPr>
        <w:t xml:space="preserve"> </w:t>
      </w:r>
      <w:r w:rsidR="00400BE3">
        <w:rPr>
          <w:sz w:val="24"/>
          <w:szCs w:val="24"/>
        </w:rPr>
        <w:t>The problem with R</w:t>
      </w:r>
      <w:r w:rsidR="00400BE3">
        <w:rPr>
          <w:sz w:val="24"/>
          <w:szCs w:val="24"/>
          <w:vertAlign w:val="superscript"/>
        </w:rPr>
        <w:t>2</w:t>
      </w:r>
      <w:r>
        <w:rPr>
          <w:sz w:val="24"/>
          <w:szCs w:val="24"/>
          <w:vertAlign w:val="superscript"/>
        </w:rPr>
        <w:t xml:space="preserve"> </w:t>
      </w:r>
      <w:r w:rsidR="00400BE3">
        <w:rPr>
          <w:sz w:val="24"/>
          <w:szCs w:val="24"/>
        </w:rPr>
        <w:t>in Principia is that the benchmark used for funds/subaccounts that are equity-like is the</w:t>
      </w:r>
      <w:r w:rsidR="00DC3357">
        <w:rPr>
          <w:sz w:val="24"/>
          <w:szCs w:val="24"/>
        </w:rPr>
        <w:t xml:space="preserve"> </w:t>
      </w:r>
      <w:r w:rsidR="00400BE3">
        <w:rPr>
          <w:sz w:val="24"/>
          <w:szCs w:val="24"/>
        </w:rPr>
        <w:t>only the S&amp;P 500. For anything bond-like, it’s only the Lehman Aggregate Bond Index. In order to get valid R</w:t>
      </w:r>
      <w:r w:rsidR="00400BE3">
        <w:rPr>
          <w:sz w:val="24"/>
          <w:szCs w:val="24"/>
          <w:vertAlign w:val="superscript"/>
        </w:rPr>
        <w:t>2</w:t>
      </w:r>
      <w:r w:rsidR="00DC3357">
        <w:rPr>
          <w:sz w:val="24"/>
          <w:szCs w:val="24"/>
          <w:vertAlign w:val="superscript"/>
        </w:rPr>
        <w:t xml:space="preserve"> </w:t>
      </w:r>
      <w:r w:rsidR="00400BE3">
        <w:rPr>
          <w:sz w:val="24"/>
          <w:szCs w:val="24"/>
        </w:rPr>
        <w:t>numbers for funds and subaccounts, you need to compare the fund/subaccount to its investment objective</w:t>
      </w:r>
      <w:r w:rsidR="00DC3357">
        <w:rPr>
          <w:sz w:val="24"/>
          <w:szCs w:val="24"/>
        </w:rPr>
        <w:t xml:space="preserve"> </w:t>
      </w:r>
      <w:r w:rsidR="00400BE3">
        <w:rPr>
          <w:sz w:val="24"/>
          <w:szCs w:val="24"/>
        </w:rPr>
        <w:t>index. In order to do this, you to have the Principia Plus program.</w:t>
      </w:r>
    </w:p>
    <w:p w:rsidR="003E57C0" w:rsidRDefault="003E57C0" w:rsidP="00FC380F">
      <w:pPr>
        <w:jc w:val="both"/>
        <w:rPr>
          <w:sz w:val="24"/>
          <w:szCs w:val="24"/>
        </w:rPr>
      </w:pPr>
    </w:p>
    <w:p w:rsidR="003E57C0" w:rsidRDefault="00FC380F" w:rsidP="00FC380F">
      <w:pPr>
        <w:jc w:val="both"/>
        <w:rPr>
          <w:sz w:val="24"/>
          <w:szCs w:val="24"/>
        </w:rPr>
      </w:pPr>
      <w:r>
        <w:rPr>
          <w:sz w:val="24"/>
          <w:szCs w:val="24"/>
        </w:rPr>
        <w:t xml:space="preserve"> </w:t>
      </w:r>
      <w:r w:rsidR="00400BE3">
        <w:rPr>
          <w:sz w:val="24"/>
          <w:szCs w:val="24"/>
        </w:rPr>
        <w:t>The heart of the investment apples to apples vs. apples to oranges debate is what benchmark is used in making</w:t>
      </w:r>
      <w:r w:rsidR="00DC3357">
        <w:rPr>
          <w:sz w:val="24"/>
          <w:szCs w:val="24"/>
        </w:rPr>
        <w:t xml:space="preserve"> </w:t>
      </w:r>
      <w:r w:rsidR="00400BE3">
        <w:rPr>
          <w:sz w:val="24"/>
          <w:szCs w:val="24"/>
        </w:rPr>
        <w:t>comparisons. Let’s look at an investment objective that’s not really similar to the S&amp;P500- Equity Income.</w:t>
      </w:r>
      <w:r w:rsidR="00DC3357">
        <w:rPr>
          <w:sz w:val="24"/>
          <w:szCs w:val="24"/>
        </w:rPr>
        <w:t xml:space="preserve"> </w:t>
      </w:r>
      <w:r w:rsidR="00400BE3">
        <w:rPr>
          <w:sz w:val="24"/>
          <w:szCs w:val="24"/>
        </w:rPr>
        <w:t>An Equity Income fund is an unweighted fund consisting of about 100 large stocks in the mature growth phase</w:t>
      </w:r>
      <w:r w:rsidR="00DC3357">
        <w:rPr>
          <w:sz w:val="24"/>
          <w:szCs w:val="24"/>
        </w:rPr>
        <w:t xml:space="preserve"> </w:t>
      </w:r>
      <w:r w:rsidR="00400BE3">
        <w:rPr>
          <w:sz w:val="24"/>
          <w:szCs w:val="24"/>
        </w:rPr>
        <w:t>of its life cycle. About 60% is in U.S. stocks and the remainder is in international stocks,</w:t>
      </w:r>
      <w:r>
        <w:rPr>
          <w:sz w:val="24"/>
          <w:szCs w:val="24"/>
        </w:rPr>
        <w:t xml:space="preserve"> </w:t>
      </w:r>
      <w:r w:rsidR="00400BE3">
        <w:rPr>
          <w:sz w:val="24"/>
          <w:szCs w:val="24"/>
        </w:rPr>
        <w:t>bonds, and cash. The</w:t>
      </w:r>
      <w:r w:rsidR="00DC3357">
        <w:rPr>
          <w:sz w:val="24"/>
          <w:szCs w:val="24"/>
        </w:rPr>
        <w:t xml:space="preserve"> </w:t>
      </w:r>
      <w:r w:rsidR="00400BE3">
        <w:rPr>
          <w:sz w:val="24"/>
          <w:szCs w:val="24"/>
        </w:rPr>
        <w:t>S&amp;P500 is a totally different animal because it’s a market cap weighted average of 500 large firms that most</w:t>
      </w:r>
      <w:r w:rsidR="00DC3357">
        <w:rPr>
          <w:sz w:val="24"/>
          <w:szCs w:val="24"/>
        </w:rPr>
        <w:t xml:space="preserve"> </w:t>
      </w:r>
      <w:r w:rsidR="00400BE3">
        <w:rPr>
          <w:sz w:val="24"/>
          <w:szCs w:val="24"/>
        </w:rPr>
        <w:t>resemble the U.S. economy. There are no bonds in the S&amp;P500, no cash, no international securities, and these</w:t>
      </w:r>
      <w:r w:rsidR="00DC3357">
        <w:rPr>
          <w:sz w:val="24"/>
          <w:szCs w:val="24"/>
        </w:rPr>
        <w:t xml:space="preserve"> </w:t>
      </w:r>
      <w:r w:rsidR="00400BE3">
        <w:rPr>
          <w:sz w:val="24"/>
          <w:szCs w:val="24"/>
        </w:rPr>
        <w:t>500 firms could be anywhere in their life cycles (which determines dividend payout policy- Equity Income</w:t>
      </w:r>
      <w:r w:rsidR="00DC3357">
        <w:rPr>
          <w:sz w:val="24"/>
          <w:szCs w:val="24"/>
        </w:rPr>
        <w:t xml:space="preserve"> </w:t>
      </w:r>
      <w:r w:rsidR="00400BE3">
        <w:rPr>
          <w:sz w:val="24"/>
          <w:szCs w:val="24"/>
        </w:rPr>
        <w:t>funds purchase stocks with a high dividend payout history). A typical Principia R</w:t>
      </w:r>
      <w:r w:rsidR="00400BE3">
        <w:rPr>
          <w:sz w:val="24"/>
          <w:szCs w:val="24"/>
          <w:vertAlign w:val="superscript"/>
        </w:rPr>
        <w:t>2</w:t>
      </w:r>
      <w:r w:rsidR="00400BE3">
        <w:rPr>
          <w:sz w:val="24"/>
          <w:szCs w:val="24"/>
        </w:rPr>
        <w:t xml:space="preserve"> for an Equity Income fund is</w:t>
      </w:r>
      <w:r w:rsidR="00DC3357">
        <w:rPr>
          <w:sz w:val="24"/>
          <w:szCs w:val="24"/>
        </w:rPr>
        <w:t xml:space="preserve"> </w:t>
      </w:r>
      <w:r w:rsidR="00400BE3">
        <w:rPr>
          <w:sz w:val="24"/>
          <w:szCs w:val="24"/>
        </w:rPr>
        <w:t>about 0.85. This means that about 85% of the variation in the Equity Income fund can be explained by variation</w:t>
      </w:r>
      <w:r>
        <w:rPr>
          <w:sz w:val="24"/>
          <w:szCs w:val="24"/>
        </w:rPr>
        <w:t xml:space="preserve"> </w:t>
      </w:r>
      <w:r w:rsidR="00400BE3">
        <w:rPr>
          <w:sz w:val="24"/>
          <w:szCs w:val="24"/>
        </w:rPr>
        <w:t>in the S&amp;P500. This is way too low to make meaningful comparisons, so a different benchmark should be</w:t>
      </w:r>
      <w:r>
        <w:rPr>
          <w:sz w:val="24"/>
          <w:szCs w:val="24"/>
        </w:rPr>
        <w:t xml:space="preserve"> </w:t>
      </w:r>
      <w:r w:rsidR="00400BE3">
        <w:rPr>
          <w:sz w:val="24"/>
          <w:szCs w:val="24"/>
        </w:rPr>
        <w:t>used. For the Equity Income objective, the correct benchmark is just the average of all the Equity Income</w:t>
      </w:r>
      <w:r w:rsidR="00DC3357">
        <w:rPr>
          <w:sz w:val="24"/>
          <w:szCs w:val="24"/>
        </w:rPr>
        <w:t xml:space="preserve"> </w:t>
      </w:r>
      <w:r w:rsidR="00400BE3">
        <w:rPr>
          <w:sz w:val="24"/>
          <w:szCs w:val="24"/>
        </w:rPr>
        <w:t>funds/subaccounts in the database. You won’t be able to use the proper benchmark with funds or subaccounts</w:t>
      </w:r>
      <w:r w:rsidR="00DC3357">
        <w:rPr>
          <w:sz w:val="24"/>
          <w:szCs w:val="24"/>
        </w:rPr>
        <w:t xml:space="preserve"> </w:t>
      </w:r>
      <w:r w:rsidR="00400BE3">
        <w:rPr>
          <w:sz w:val="24"/>
          <w:szCs w:val="24"/>
        </w:rPr>
        <w:t>using Principia because you’re stuck with the S&amp;P500 for equity-like investments.</w:t>
      </w:r>
    </w:p>
    <w:p w:rsidR="003E57C0" w:rsidRDefault="003E57C0" w:rsidP="00FC380F">
      <w:pPr>
        <w:jc w:val="both"/>
        <w:rPr>
          <w:sz w:val="24"/>
          <w:szCs w:val="24"/>
        </w:rPr>
      </w:pPr>
    </w:p>
    <w:p w:rsidR="003E57C0" w:rsidRDefault="00FC380F" w:rsidP="00FC380F">
      <w:pPr>
        <w:jc w:val="both"/>
        <w:rPr>
          <w:sz w:val="24"/>
          <w:szCs w:val="24"/>
        </w:rPr>
      </w:pPr>
      <w:r>
        <w:rPr>
          <w:sz w:val="24"/>
          <w:szCs w:val="24"/>
        </w:rPr>
        <w:t xml:space="preserve"> </w:t>
      </w:r>
      <w:r w:rsidR="00400BE3">
        <w:rPr>
          <w:sz w:val="24"/>
          <w:szCs w:val="24"/>
        </w:rPr>
        <w:t>Now let’s look at the investment objectives that most closely match the S&amp;P500- Growth and Growth and</w:t>
      </w:r>
      <w:r w:rsidR="00DC3357">
        <w:rPr>
          <w:sz w:val="24"/>
          <w:szCs w:val="24"/>
        </w:rPr>
        <w:t xml:space="preserve"> </w:t>
      </w:r>
      <w:r w:rsidR="00400BE3">
        <w:rPr>
          <w:sz w:val="24"/>
          <w:szCs w:val="24"/>
        </w:rPr>
        <w:t>Income.</w:t>
      </w:r>
      <w:r>
        <w:rPr>
          <w:sz w:val="24"/>
          <w:szCs w:val="24"/>
        </w:rPr>
        <w:t xml:space="preserve"> </w:t>
      </w:r>
      <w:r w:rsidR="00400BE3">
        <w:rPr>
          <w:sz w:val="24"/>
          <w:szCs w:val="24"/>
        </w:rPr>
        <w:t>I used Principia to sort through all of the 3,709 equity funds to find the funds that had an R</w:t>
      </w:r>
      <w:r w:rsidR="00400BE3">
        <w:rPr>
          <w:sz w:val="24"/>
          <w:szCs w:val="24"/>
          <w:vertAlign w:val="superscript"/>
        </w:rPr>
        <w:t xml:space="preserve">2 </w:t>
      </w:r>
      <w:r w:rsidR="00400BE3">
        <w:rPr>
          <w:sz w:val="24"/>
          <w:szCs w:val="24"/>
        </w:rPr>
        <w:t>of more</w:t>
      </w:r>
      <w:r w:rsidR="00DC3357">
        <w:rPr>
          <w:sz w:val="24"/>
          <w:szCs w:val="24"/>
        </w:rPr>
        <w:t xml:space="preserve"> </w:t>
      </w:r>
      <w:r w:rsidR="00400BE3">
        <w:rPr>
          <w:sz w:val="24"/>
          <w:szCs w:val="24"/>
        </w:rPr>
        <w:t>than 0.92, and were not index funds (the printout is in the back of this report). There were 29 funds; 19 were</w:t>
      </w:r>
      <w:r w:rsidR="00DC3357">
        <w:rPr>
          <w:sz w:val="24"/>
          <w:szCs w:val="24"/>
        </w:rPr>
        <w:t xml:space="preserve"> </w:t>
      </w:r>
      <w:r w:rsidR="00400BE3">
        <w:rPr>
          <w:sz w:val="24"/>
          <w:szCs w:val="24"/>
        </w:rPr>
        <w:t>Growth &amp; Income, and 10 were Growth funds. The only fund that we can sell in this list is American Funds</w:t>
      </w:r>
      <w:r w:rsidR="00DC3357">
        <w:rPr>
          <w:sz w:val="24"/>
          <w:szCs w:val="24"/>
        </w:rPr>
        <w:t xml:space="preserve"> </w:t>
      </w:r>
      <w:r w:rsidR="00400BE3">
        <w:rPr>
          <w:sz w:val="24"/>
          <w:szCs w:val="24"/>
        </w:rPr>
        <w:t>Investment Company of America (Growth &amp; Income). It has an R</w:t>
      </w:r>
      <w:r w:rsidR="00400BE3">
        <w:rPr>
          <w:sz w:val="24"/>
          <w:szCs w:val="24"/>
          <w:vertAlign w:val="superscript"/>
        </w:rPr>
        <w:t>2</w:t>
      </w:r>
      <w:r>
        <w:rPr>
          <w:sz w:val="24"/>
          <w:szCs w:val="24"/>
          <w:vertAlign w:val="superscript"/>
        </w:rPr>
        <w:t xml:space="preserve"> </w:t>
      </w:r>
      <w:r w:rsidR="00400BE3">
        <w:rPr>
          <w:sz w:val="24"/>
          <w:szCs w:val="24"/>
        </w:rPr>
        <w:t>of 0.95. This fund has 9% in cash, 9.2% in</w:t>
      </w:r>
      <w:r w:rsidR="00DC3357">
        <w:rPr>
          <w:sz w:val="24"/>
          <w:szCs w:val="24"/>
        </w:rPr>
        <w:t xml:space="preserve"> </w:t>
      </w:r>
      <w:r w:rsidR="00400BE3">
        <w:rPr>
          <w:sz w:val="24"/>
          <w:szCs w:val="24"/>
        </w:rPr>
        <w:t>international stocks, and 5.3% in bonds. Only 76.5% of this fund is in U.S. stocks, so comparing this fund to</w:t>
      </w:r>
      <w:r w:rsidR="00DC3357">
        <w:rPr>
          <w:sz w:val="24"/>
          <w:szCs w:val="24"/>
        </w:rPr>
        <w:t xml:space="preserve"> </w:t>
      </w:r>
      <w:proofErr w:type="spellStart"/>
      <w:r w:rsidR="00400BE3">
        <w:rPr>
          <w:sz w:val="24"/>
          <w:szCs w:val="24"/>
        </w:rPr>
        <w:t>to</w:t>
      </w:r>
      <w:proofErr w:type="spellEnd"/>
      <w:r w:rsidR="00400BE3">
        <w:rPr>
          <w:sz w:val="24"/>
          <w:szCs w:val="24"/>
        </w:rPr>
        <w:t xml:space="preserve"> the S&amp;P500 is an apples to oranges comparison.</w:t>
      </w:r>
      <w:r>
        <w:rPr>
          <w:sz w:val="24"/>
          <w:szCs w:val="24"/>
        </w:rPr>
        <w:t xml:space="preserve"> </w:t>
      </w:r>
      <w:r w:rsidR="00400BE3">
        <w:rPr>
          <w:sz w:val="24"/>
          <w:szCs w:val="24"/>
        </w:rPr>
        <w:t>A Growth &amp; Income index should be used instead, and you</w:t>
      </w:r>
      <w:r w:rsidR="00DC3357">
        <w:rPr>
          <w:sz w:val="24"/>
          <w:szCs w:val="24"/>
        </w:rPr>
        <w:t xml:space="preserve"> </w:t>
      </w:r>
      <w:r w:rsidR="00400BE3">
        <w:rPr>
          <w:sz w:val="24"/>
          <w:szCs w:val="24"/>
        </w:rPr>
        <w:t>need Principia Plus to do that.</w:t>
      </w:r>
    </w:p>
    <w:p w:rsidR="003E57C0" w:rsidRDefault="003E57C0" w:rsidP="00FC380F">
      <w:pPr>
        <w:jc w:val="both"/>
        <w:rPr>
          <w:sz w:val="24"/>
          <w:szCs w:val="24"/>
        </w:rPr>
      </w:pPr>
    </w:p>
    <w:p w:rsidR="003E57C0" w:rsidRDefault="00FC380F" w:rsidP="00FC380F">
      <w:pPr>
        <w:jc w:val="both"/>
        <w:rPr>
          <w:sz w:val="24"/>
          <w:szCs w:val="24"/>
        </w:rPr>
      </w:pPr>
      <w:r>
        <w:rPr>
          <w:sz w:val="24"/>
          <w:szCs w:val="24"/>
        </w:rPr>
        <w:t xml:space="preserve"> </w:t>
      </w:r>
      <w:r w:rsidR="00400BE3">
        <w:rPr>
          <w:sz w:val="24"/>
          <w:szCs w:val="24"/>
        </w:rPr>
        <w:t>Here is all you need to know about R</w:t>
      </w:r>
      <w:r w:rsidR="00400BE3">
        <w:rPr>
          <w:sz w:val="24"/>
          <w:szCs w:val="24"/>
          <w:vertAlign w:val="superscript"/>
        </w:rPr>
        <w:t>2</w:t>
      </w:r>
      <w:r>
        <w:rPr>
          <w:sz w:val="24"/>
          <w:szCs w:val="24"/>
          <w:vertAlign w:val="superscript"/>
        </w:rPr>
        <w:t xml:space="preserve"> </w:t>
      </w:r>
      <w:r w:rsidR="00400BE3">
        <w:rPr>
          <w:sz w:val="24"/>
          <w:szCs w:val="24"/>
        </w:rPr>
        <w:t>(unless you have a program that can do R</w:t>
      </w:r>
      <w:r w:rsidR="00400BE3">
        <w:rPr>
          <w:sz w:val="24"/>
          <w:szCs w:val="24"/>
          <w:vertAlign w:val="superscript"/>
        </w:rPr>
        <w:t>2</w:t>
      </w:r>
      <w:r w:rsidR="00400BE3">
        <w:rPr>
          <w:sz w:val="24"/>
          <w:szCs w:val="24"/>
        </w:rPr>
        <w:t xml:space="preserve"> right in the first place):</w:t>
      </w:r>
      <w:r>
        <w:rPr>
          <w:sz w:val="24"/>
          <w:szCs w:val="24"/>
        </w:rPr>
        <w:t xml:space="preserve"> </w:t>
      </w:r>
      <w:r w:rsidR="00400BE3">
        <w:rPr>
          <w:sz w:val="24"/>
          <w:szCs w:val="24"/>
        </w:rPr>
        <w:t>R</w:t>
      </w:r>
      <w:r w:rsidR="00400BE3">
        <w:rPr>
          <w:sz w:val="24"/>
          <w:szCs w:val="24"/>
          <w:vertAlign w:val="superscript"/>
        </w:rPr>
        <w:t>2</w:t>
      </w:r>
      <w:r>
        <w:rPr>
          <w:sz w:val="24"/>
          <w:szCs w:val="24"/>
          <w:vertAlign w:val="superscript"/>
        </w:rPr>
        <w:t xml:space="preserve"> </w:t>
      </w:r>
      <w:r w:rsidR="00400BE3">
        <w:rPr>
          <w:sz w:val="24"/>
          <w:szCs w:val="24"/>
        </w:rPr>
        <w:t>values range from 0 to 1 (Principia lists them as 0-100. That’s not mathematically correct, but we don’t care</w:t>
      </w:r>
      <w:r w:rsidR="00DC3357">
        <w:rPr>
          <w:sz w:val="24"/>
          <w:szCs w:val="24"/>
        </w:rPr>
        <w:t xml:space="preserve"> </w:t>
      </w:r>
      <w:r w:rsidR="00400BE3">
        <w:rPr>
          <w:sz w:val="24"/>
          <w:szCs w:val="24"/>
        </w:rPr>
        <w:t>because we’re not mathematicians). 0.0 means that absolutely none of the variance in the thing you’re</w:t>
      </w:r>
      <w:r w:rsidR="00DC3357">
        <w:rPr>
          <w:sz w:val="24"/>
          <w:szCs w:val="24"/>
        </w:rPr>
        <w:t xml:space="preserve"> </w:t>
      </w:r>
      <w:r w:rsidR="00400BE3">
        <w:rPr>
          <w:sz w:val="24"/>
          <w:szCs w:val="24"/>
        </w:rPr>
        <w:t>comparing is related (or explained by) to the benchmark you’re comparing it to. An R</w:t>
      </w:r>
      <w:r w:rsidR="00400BE3">
        <w:rPr>
          <w:sz w:val="24"/>
          <w:szCs w:val="24"/>
          <w:vertAlign w:val="superscript"/>
        </w:rPr>
        <w:t>2</w:t>
      </w:r>
      <w:r>
        <w:rPr>
          <w:sz w:val="24"/>
          <w:szCs w:val="24"/>
          <w:vertAlign w:val="superscript"/>
        </w:rPr>
        <w:t xml:space="preserve"> </w:t>
      </w:r>
      <w:r w:rsidR="00400BE3">
        <w:rPr>
          <w:sz w:val="24"/>
          <w:szCs w:val="24"/>
        </w:rPr>
        <w:t>of 1.0 means that 100%</w:t>
      </w:r>
      <w:r w:rsidR="00DC3357">
        <w:rPr>
          <w:sz w:val="24"/>
          <w:szCs w:val="24"/>
        </w:rPr>
        <w:t xml:space="preserve"> </w:t>
      </w:r>
      <w:r w:rsidR="00400BE3">
        <w:rPr>
          <w:sz w:val="24"/>
          <w:szCs w:val="24"/>
        </w:rPr>
        <w:t>of the variation of what you’re interested in is explained by the variation in the benchmark.</w:t>
      </w:r>
    </w:p>
    <w:p w:rsidR="003E57C0" w:rsidRDefault="003E57C0" w:rsidP="00FC380F">
      <w:pPr>
        <w:jc w:val="both"/>
        <w:rPr>
          <w:sz w:val="24"/>
          <w:szCs w:val="24"/>
        </w:rPr>
      </w:pPr>
    </w:p>
    <w:p w:rsidR="003E57C0" w:rsidRDefault="00FC380F" w:rsidP="00FC380F">
      <w:pPr>
        <w:jc w:val="both"/>
        <w:rPr>
          <w:sz w:val="24"/>
          <w:szCs w:val="24"/>
        </w:rPr>
      </w:pPr>
      <w:r>
        <w:rPr>
          <w:sz w:val="24"/>
          <w:szCs w:val="24"/>
        </w:rPr>
        <w:t xml:space="preserve"> </w:t>
      </w:r>
      <w:r w:rsidR="00400BE3">
        <w:rPr>
          <w:sz w:val="24"/>
          <w:szCs w:val="24"/>
        </w:rPr>
        <w:t>What does all of this mean in your everyday life? If you’re using Morningstar Principia, and the</w:t>
      </w:r>
      <w:r w:rsidR="00DC3357">
        <w:rPr>
          <w:sz w:val="24"/>
          <w:szCs w:val="24"/>
        </w:rPr>
        <w:t xml:space="preserve"> </w:t>
      </w:r>
      <w:r w:rsidR="00400BE3">
        <w:rPr>
          <w:sz w:val="24"/>
          <w:szCs w:val="24"/>
        </w:rPr>
        <w:t>fund/subaccount you’re interested in has an R</w:t>
      </w:r>
      <w:r w:rsidR="00400BE3">
        <w:rPr>
          <w:sz w:val="24"/>
          <w:szCs w:val="24"/>
          <w:vertAlign w:val="superscript"/>
        </w:rPr>
        <w:t>2</w:t>
      </w:r>
      <w:r>
        <w:rPr>
          <w:sz w:val="24"/>
          <w:szCs w:val="24"/>
          <w:vertAlign w:val="superscript"/>
        </w:rPr>
        <w:t xml:space="preserve"> </w:t>
      </w:r>
      <w:r w:rsidR="00400BE3">
        <w:rPr>
          <w:sz w:val="24"/>
          <w:szCs w:val="24"/>
        </w:rPr>
        <w:t>of less than 0.95, then you’re comparing apples to oranges, and</w:t>
      </w:r>
      <w:r w:rsidR="00DC3357">
        <w:rPr>
          <w:sz w:val="24"/>
          <w:szCs w:val="24"/>
        </w:rPr>
        <w:t xml:space="preserve"> </w:t>
      </w:r>
      <w:r w:rsidR="00400BE3">
        <w:rPr>
          <w:sz w:val="24"/>
          <w:szCs w:val="24"/>
        </w:rPr>
        <w:t xml:space="preserve">you can ignore the next 2 stats completely (Alpha and Beta). </w:t>
      </w:r>
    </w:p>
    <w:p w:rsidR="003E57C0" w:rsidRDefault="003E57C0" w:rsidP="00FC380F">
      <w:pPr>
        <w:jc w:val="both"/>
        <w:rPr>
          <w:sz w:val="24"/>
          <w:szCs w:val="24"/>
        </w:rPr>
      </w:pPr>
    </w:p>
    <w:p w:rsidR="003E57C0" w:rsidRDefault="00400BE3" w:rsidP="00FC380F">
      <w:pPr>
        <w:jc w:val="both"/>
        <w:rPr>
          <w:sz w:val="24"/>
          <w:szCs w:val="24"/>
        </w:rPr>
      </w:pPr>
      <w:r>
        <w:rPr>
          <w:sz w:val="24"/>
          <w:szCs w:val="24"/>
          <w:u w:val="single"/>
        </w:rPr>
        <w:t>Beta:</w:t>
      </w:r>
      <w:r>
        <w:rPr>
          <w:sz w:val="24"/>
          <w:szCs w:val="24"/>
        </w:rPr>
        <w:t xml:space="preserve"> </w:t>
      </w:r>
      <w:r>
        <w:rPr>
          <w:sz w:val="24"/>
          <w:szCs w:val="24"/>
        </w:rPr>
        <w:sym w:font="Symbol" w:char="F062"/>
      </w:r>
      <w:r>
        <w:rPr>
          <w:sz w:val="24"/>
          <w:szCs w:val="24"/>
        </w:rPr>
        <w:t xml:space="preserve"> is used to compare the risk (systematic variation or market risk) of an asset to the same risk of a</w:t>
      </w:r>
      <w:r w:rsidR="00DC3357">
        <w:rPr>
          <w:sz w:val="24"/>
          <w:szCs w:val="24"/>
        </w:rPr>
        <w:t xml:space="preserve"> </w:t>
      </w:r>
      <w:r>
        <w:rPr>
          <w:sz w:val="24"/>
          <w:szCs w:val="24"/>
        </w:rPr>
        <w:t>benchmark index. The purpose of this is to help predict what will happen to the value of the asset in response</w:t>
      </w:r>
      <w:r w:rsidR="00DC3357">
        <w:rPr>
          <w:sz w:val="24"/>
          <w:szCs w:val="24"/>
        </w:rPr>
        <w:t xml:space="preserve"> </w:t>
      </w:r>
      <w:r>
        <w:rPr>
          <w:sz w:val="24"/>
          <w:szCs w:val="24"/>
        </w:rPr>
        <w:t>to fluctuations in the value of the benchmark. Again, the only 2 benchmarks used for funds in Principia are</w:t>
      </w:r>
      <w:r w:rsidR="00DC3357">
        <w:rPr>
          <w:sz w:val="24"/>
          <w:szCs w:val="24"/>
        </w:rPr>
        <w:t xml:space="preserve"> </w:t>
      </w:r>
      <w:r>
        <w:rPr>
          <w:sz w:val="24"/>
          <w:szCs w:val="24"/>
        </w:rPr>
        <w:t>the S&amp;P 500 and the Lehman Aggregate Bond Index. So if the R</w:t>
      </w:r>
      <w:r>
        <w:rPr>
          <w:sz w:val="24"/>
          <w:szCs w:val="24"/>
          <w:vertAlign w:val="superscript"/>
        </w:rPr>
        <w:t>2</w:t>
      </w:r>
      <w:r w:rsidR="00FC380F">
        <w:rPr>
          <w:sz w:val="24"/>
          <w:szCs w:val="24"/>
          <w:vertAlign w:val="superscript"/>
        </w:rPr>
        <w:t xml:space="preserve"> </w:t>
      </w:r>
      <w:r>
        <w:rPr>
          <w:sz w:val="24"/>
          <w:szCs w:val="24"/>
        </w:rPr>
        <w:t>value of the fund/subaccount is lower than</w:t>
      </w:r>
      <w:r w:rsidR="00DC3357">
        <w:rPr>
          <w:sz w:val="24"/>
          <w:szCs w:val="24"/>
        </w:rPr>
        <w:t xml:space="preserve"> </w:t>
      </w:r>
      <w:r>
        <w:rPr>
          <w:sz w:val="24"/>
          <w:szCs w:val="24"/>
        </w:rPr>
        <w:t xml:space="preserve">0.95, then you’re comparing apples to oranges, and </w:t>
      </w:r>
      <w:r>
        <w:rPr>
          <w:sz w:val="24"/>
          <w:szCs w:val="24"/>
        </w:rPr>
        <w:sym w:font="Symbol" w:char="F062"/>
      </w:r>
      <w:r>
        <w:rPr>
          <w:sz w:val="24"/>
          <w:szCs w:val="24"/>
        </w:rPr>
        <w:t xml:space="preserve"> is mostly meaningless.</w:t>
      </w:r>
    </w:p>
    <w:p w:rsidR="003E57C0" w:rsidRDefault="003E57C0" w:rsidP="00FC380F">
      <w:pPr>
        <w:jc w:val="both"/>
        <w:rPr>
          <w:sz w:val="24"/>
          <w:szCs w:val="24"/>
        </w:rPr>
      </w:pPr>
    </w:p>
    <w:p w:rsidR="003E57C0" w:rsidRDefault="00400BE3" w:rsidP="00FC380F">
      <w:pPr>
        <w:jc w:val="both"/>
        <w:rPr>
          <w:sz w:val="24"/>
          <w:szCs w:val="24"/>
        </w:rPr>
      </w:pPr>
      <w:r>
        <w:rPr>
          <w:sz w:val="24"/>
          <w:szCs w:val="24"/>
          <w:u w:val="single"/>
        </w:rPr>
        <w:t>Alpha:</w:t>
      </w:r>
      <w:r>
        <w:rPr>
          <w:sz w:val="24"/>
          <w:szCs w:val="24"/>
        </w:rPr>
        <w:t xml:space="preserve"> </w:t>
      </w:r>
      <w:r>
        <w:rPr>
          <w:sz w:val="24"/>
          <w:szCs w:val="24"/>
        </w:rPr>
        <w:sym w:font="Symbol" w:char="F061"/>
      </w:r>
      <w:r>
        <w:rPr>
          <w:sz w:val="24"/>
          <w:szCs w:val="24"/>
        </w:rPr>
        <w:t xml:space="preserve"> is used as an indication of how an asset has performed in the past relative to a benchmark index. Using</w:t>
      </w:r>
      <w:r w:rsidR="00DC3357">
        <w:rPr>
          <w:sz w:val="24"/>
          <w:szCs w:val="24"/>
        </w:rPr>
        <w:t xml:space="preserve"> </w:t>
      </w:r>
      <w:r>
        <w:rPr>
          <w:sz w:val="24"/>
          <w:szCs w:val="24"/>
        </w:rPr>
        <w:t>the CAPM formula (Capital Asset Pricing Model- if this is new to you, don’t worry about it), an</w:t>
      </w:r>
      <w:r w:rsidR="00DC3357">
        <w:rPr>
          <w:sz w:val="24"/>
          <w:szCs w:val="24"/>
        </w:rPr>
        <w:t xml:space="preserve"> </w:t>
      </w:r>
      <w:r>
        <w:rPr>
          <w:sz w:val="24"/>
          <w:szCs w:val="24"/>
        </w:rPr>
        <w:t>investment’s performance can be “predicted.” If the asset’s performance is more than what the CAPM</w:t>
      </w:r>
      <w:r w:rsidR="00DC3357">
        <w:rPr>
          <w:sz w:val="24"/>
          <w:szCs w:val="24"/>
        </w:rPr>
        <w:t xml:space="preserve"> </w:t>
      </w:r>
      <w:r>
        <w:rPr>
          <w:sz w:val="24"/>
          <w:szCs w:val="24"/>
        </w:rPr>
        <w:t xml:space="preserve">predicted, then the asset has a “positive </w:t>
      </w:r>
      <w:r>
        <w:rPr>
          <w:sz w:val="24"/>
          <w:szCs w:val="24"/>
        </w:rPr>
        <w:sym w:font="Symbol" w:char="F061"/>
      </w:r>
      <w:r>
        <w:rPr>
          <w:sz w:val="24"/>
          <w:szCs w:val="24"/>
        </w:rPr>
        <w:t>.”</w:t>
      </w:r>
      <w:r w:rsidR="00FC380F">
        <w:rPr>
          <w:sz w:val="24"/>
          <w:szCs w:val="24"/>
        </w:rPr>
        <w:t xml:space="preserve"> </w:t>
      </w:r>
      <w:r>
        <w:rPr>
          <w:sz w:val="24"/>
          <w:szCs w:val="24"/>
        </w:rPr>
        <w:t>For</w:t>
      </w:r>
      <w:r w:rsidR="00FC380F">
        <w:rPr>
          <w:sz w:val="24"/>
          <w:szCs w:val="24"/>
        </w:rPr>
        <w:t xml:space="preserve"> </w:t>
      </w:r>
      <w:r>
        <w:rPr>
          <w:sz w:val="24"/>
          <w:szCs w:val="24"/>
        </w:rPr>
        <w:t>example, if the CAPM predicted an asset to have a total</w:t>
      </w:r>
      <w:r w:rsidR="00DC3357">
        <w:rPr>
          <w:sz w:val="24"/>
          <w:szCs w:val="24"/>
        </w:rPr>
        <w:t xml:space="preserve"> </w:t>
      </w:r>
      <w:r>
        <w:rPr>
          <w:sz w:val="24"/>
          <w:szCs w:val="24"/>
        </w:rPr>
        <w:t>return of 10% (using the S&amp;P500 as the benchmark in one of the factors in the formula), and its total</w:t>
      </w:r>
      <w:r w:rsidR="00DC3357">
        <w:rPr>
          <w:sz w:val="24"/>
          <w:szCs w:val="24"/>
        </w:rPr>
        <w:t xml:space="preserve"> </w:t>
      </w:r>
      <w:r>
        <w:rPr>
          <w:sz w:val="24"/>
          <w:szCs w:val="24"/>
        </w:rPr>
        <w:t xml:space="preserve">return was actually 11%, then its </w:t>
      </w:r>
      <w:r>
        <w:rPr>
          <w:sz w:val="24"/>
          <w:szCs w:val="24"/>
        </w:rPr>
        <w:sym w:font="Symbol" w:char="F061"/>
      </w:r>
      <w:r>
        <w:rPr>
          <w:sz w:val="24"/>
          <w:szCs w:val="24"/>
        </w:rPr>
        <w:t xml:space="preserve"> is 1.</w:t>
      </w:r>
      <w:r w:rsidR="00FC380F">
        <w:rPr>
          <w:sz w:val="24"/>
          <w:szCs w:val="24"/>
        </w:rPr>
        <w:t xml:space="preserve"> </w:t>
      </w:r>
      <w:r>
        <w:rPr>
          <w:sz w:val="24"/>
          <w:szCs w:val="24"/>
        </w:rPr>
        <w:t>If the actual was 9%,</w:t>
      </w:r>
      <w:r w:rsidR="00FC380F">
        <w:rPr>
          <w:sz w:val="24"/>
          <w:szCs w:val="24"/>
        </w:rPr>
        <w:t xml:space="preserve"> </w:t>
      </w:r>
      <w:r>
        <w:rPr>
          <w:sz w:val="24"/>
          <w:szCs w:val="24"/>
        </w:rPr>
        <w:sym w:font="Symbol" w:char="F061"/>
      </w:r>
      <w:r>
        <w:rPr>
          <w:sz w:val="24"/>
          <w:szCs w:val="24"/>
        </w:rPr>
        <w:t xml:space="preserve"> is then -1.0. The same caveats go with</w:t>
      </w:r>
      <w:r w:rsidR="00FC380F">
        <w:rPr>
          <w:sz w:val="24"/>
          <w:szCs w:val="24"/>
        </w:rPr>
        <w:t xml:space="preserve"> </w:t>
      </w:r>
      <w:r>
        <w:rPr>
          <w:sz w:val="24"/>
          <w:szCs w:val="24"/>
        </w:rPr>
        <w:sym w:font="Symbol" w:char="F061"/>
      </w:r>
      <w:r w:rsidR="00DC3357">
        <w:rPr>
          <w:sz w:val="24"/>
          <w:szCs w:val="24"/>
        </w:rPr>
        <w:t xml:space="preserve"> </w:t>
      </w:r>
      <w:r>
        <w:rPr>
          <w:sz w:val="24"/>
          <w:szCs w:val="24"/>
        </w:rPr>
        <w:t xml:space="preserve">as with </w:t>
      </w:r>
      <w:r>
        <w:rPr>
          <w:sz w:val="24"/>
          <w:szCs w:val="24"/>
        </w:rPr>
        <w:sym w:font="Symbol" w:char="F062"/>
      </w:r>
      <w:r>
        <w:rPr>
          <w:sz w:val="24"/>
          <w:szCs w:val="24"/>
        </w:rPr>
        <w:t>: if R</w:t>
      </w:r>
      <w:r>
        <w:rPr>
          <w:sz w:val="24"/>
          <w:szCs w:val="24"/>
          <w:vertAlign w:val="superscript"/>
        </w:rPr>
        <w:t xml:space="preserve">2 </w:t>
      </w:r>
      <w:r>
        <w:rPr>
          <w:sz w:val="24"/>
          <w:szCs w:val="24"/>
        </w:rPr>
        <w:t>is less than 0.95, then you’re comparing apples to oranges, and the comparison is mostly</w:t>
      </w:r>
      <w:r w:rsidR="00DC3357">
        <w:rPr>
          <w:sz w:val="24"/>
          <w:szCs w:val="24"/>
        </w:rPr>
        <w:t xml:space="preserve"> </w:t>
      </w:r>
      <w:r>
        <w:rPr>
          <w:sz w:val="24"/>
          <w:szCs w:val="24"/>
        </w:rPr>
        <w:t xml:space="preserve">meaningless with Principia. </w:t>
      </w:r>
    </w:p>
    <w:p w:rsidR="002E723A" w:rsidRDefault="002E723A" w:rsidP="00FC380F">
      <w:pPr>
        <w:jc w:val="both"/>
        <w:rPr>
          <w:sz w:val="24"/>
          <w:szCs w:val="24"/>
        </w:rPr>
      </w:pPr>
    </w:p>
    <w:p w:rsidR="003E57C0" w:rsidRDefault="00400BE3" w:rsidP="002E723A">
      <w:pPr>
        <w:jc w:val="center"/>
        <w:rPr>
          <w:b/>
          <w:bCs/>
          <w:sz w:val="24"/>
          <w:szCs w:val="24"/>
        </w:rPr>
      </w:pPr>
      <w:r>
        <w:rPr>
          <w:b/>
          <w:bCs/>
          <w:sz w:val="28"/>
          <w:szCs w:val="28"/>
        </w:rPr>
        <w:t>Comparing Fund/Subaccounts on an Apples to Apples Basis</w:t>
      </w:r>
    </w:p>
    <w:p w:rsidR="003E57C0" w:rsidRDefault="003E57C0" w:rsidP="00FC380F">
      <w:pPr>
        <w:jc w:val="both"/>
        <w:rPr>
          <w:sz w:val="24"/>
          <w:szCs w:val="24"/>
        </w:rPr>
      </w:pPr>
    </w:p>
    <w:p w:rsidR="003E57C0" w:rsidRDefault="00400BE3" w:rsidP="00FC380F">
      <w:pPr>
        <w:jc w:val="both"/>
        <w:rPr>
          <w:sz w:val="24"/>
          <w:szCs w:val="24"/>
        </w:rPr>
      </w:pPr>
      <w:r>
        <w:rPr>
          <w:sz w:val="24"/>
          <w:szCs w:val="24"/>
        </w:rPr>
        <w:t>Benchmark errors exist when an investment performance comparison is made using dissimilar benchmarks or indices. An analogy would be saying that since a goat only produces a quart of milk, and the cow puts out a gallon, the goat is useless compared to the cow. The point is that the goat and the cow are two totally different animals and thus should not be compared solely on the basis of milk production.</w:t>
      </w:r>
    </w:p>
    <w:p w:rsidR="003E57C0" w:rsidRDefault="003E57C0" w:rsidP="00FC380F">
      <w:pPr>
        <w:jc w:val="both"/>
        <w:rPr>
          <w:sz w:val="24"/>
          <w:szCs w:val="24"/>
        </w:rPr>
      </w:pPr>
    </w:p>
    <w:p w:rsidR="003E57C0" w:rsidRDefault="00400BE3" w:rsidP="00FC380F">
      <w:pPr>
        <w:jc w:val="both"/>
        <w:rPr>
          <w:sz w:val="24"/>
          <w:szCs w:val="24"/>
        </w:rPr>
      </w:pPr>
      <w:r>
        <w:rPr>
          <w:sz w:val="24"/>
          <w:szCs w:val="24"/>
        </w:rPr>
        <w:t xml:space="preserve">The first step in making valid fund/subaccount comparisons is to use the correct benchmark index. You won’t be able to do this with Principia or most other hypo software for mutual funds. Once the correct benchmark index is used, the next step is to adjust the benchmark/index for all loads, 12b-1 changes, management fees, and M&amp;E expenses. This is needed because the benchmark/index does not have loads, fees, or other expenses. You just </w:t>
      </w:r>
    </w:p>
    <w:p w:rsidR="003E57C0" w:rsidRDefault="00400BE3" w:rsidP="00FC380F">
      <w:pPr>
        <w:jc w:val="both"/>
        <w:rPr>
          <w:sz w:val="24"/>
          <w:szCs w:val="24"/>
        </w:rPr>
      </w:pPr>
      <w:r>
        <w:rPr>
          <w:sz w:val="24"/>
          <w:szCs w:val="24"/>
        </w:rPr>
        <w:t xml:space="preserve">subtract these expenses from the ROR of the benchmark index. </w:t>
      </w:r>
    </w:p>
    <w:p w:rsidR="003E57C0" w:rsidRDefault="003E57C0" w:rsidP="00FC380F">
      <w:pPr>
        <w:jc w:val="both"/>
        <w:rPr>
          <w:sz w:val="24"/>
          <w:szCs w:val="24"/>
        </w:rPr>
      </w:pPr>
    </w:p>
    <w:p w:rsidR="003E57C0" w:rsidRDefault="00400BE3" w:rsidP="00FC380F">
      <w:pPr>
        <w:jc w:val="both"/>
        <w:rPr>
          <w:sz w:val="24"/>
          <w:szCs w:val="24"/>
        </w:rPr>
      </w:pPr>
      <w:r>
        <w:rPr>
          <w:sz w:val="24"/>
          <w:szCs w:val="24"/>
        </w:rPr>
        <w:t xml:space="preserve">For example, if you wanted to compare the AUL VA American Bond subaccount to the correct benchmark, the </w:t>
      </w:r>
    </w:p>
    <w:p w:rsidR="003E57C0" w:rsidRDefault="00400BE3" w:rsidP="00FC380F">
      <w:pPr>
        <w:jc w:val="both"/>
        <w:rPr>
          <w:sz w:val="24"/>
          <w:szCs w:val="24"/>
        </w:rPr>
      </w:pPr>
      <w:r>
        <w:rPr>
          <w:sz w:val="24"/>
          <w:szCs w:val="24"/>
        </w:rPr>
        <w:t>VA Corporate Bond index, you need to take the index’s ROR and then subtract 1.95% (the total expenses from the actual subaccount).</w:t>
      </w:r>
    </w:p>
    <w:p w:rsidR="003E57C0" w:rsidRDefault="003E57C0" w:rsidP="00FC380F">
      <w:pPr>
        <w:jc w:val="both"/>
        <w:rPr>
          <w:sz w:val="24"/>
          <w:szCs w:val="24"/>
        </w:rPr>
      </w:pPr>
    </w:p>
    <w:p w:rsidR="003E57C0" w:rsidRDefault="00400BE3" w:rsidP="00FC380F">
      <w:pPr>
        <w:jc w:val="both"/>
        <w:rPr>
          <w:sz w:val="24"/>
          <w:szCs w:val="24"/>
        </w:rPr>
      </w:pPr>
      <w:r>
        <w:rPr>
          <w:sz w:val="24"/>
          <w:szCs w:val="24"/>
        </w:rPr>
        <w:t>The following charts show the differences in comparing apples to oranges vs. apples to apples. The first chart shows benchmark errors combined with the error from not adjusting for expenses. The next 3 use the correct benchmarks, and are adjusted for expenses which gives a true apples to apples comparison.</w:t>
      </w:r>
    </w:p>
    <w:p w:rsidR="003E57C0" w:rsidRDefault="003E57C0">
      <w:pPr>
        <w:rPr>
          <w:sz w:val="24"/>
          <w:szCs w:val="24"/>
        </w:rPr>
      </w:pPr>
    </w:p>
    <w:p w:rsidR="003E57C0" w:rsidRDefault="00400BE3">
      <w:pPr>
        <w:jc w:val="center"/>
        <w:rPr>
          <w:sz w:val="24"/>
          <w:szCs w:val="24"/>
        </w:rPr>
      </w:pPr>
      <w:r>
        <w:rPr>
          <w:sz w:val="24"/>
          <w:szCs w:val="24"/>
        </w:rPr>
        <w:t>This 1 year time frame was 1/1/95 to 1/31/96 due to a software idiosyncrasy.</w:t>
      </w:r>
    </w:p>
    <w:p w:rsidR="003E57C0" w:rsidRDefault="003E57C0">
      <w:pPr>
        <w:jc w:val="center"/>
        <w:rPr>
          <w:sz w:val="24"/>
          <w:szCs w:val="24"/>
        </w:rPr>
      </w:pPr>
    </w:p>
    <w:tbl>
      <w:tblPr>
        <w:tblW w:w="0" w:type="auto"/>
        <w:tblLayout w:type="fixed"/>
        <w:tblLook w:val="0000" w:firstRow="0" w:lastRow="0" w:firstColumn="0" w:lastColumn="0" w:noHBand="0" w:noVBand="0"/>
      </w:tblPr>
      <w:tblGrid>
        <w:gridCol w:w="3438"/>
        <w:gridCol w:w="3330"/>
        <w:gridCol w:w="1710"/>
        <w:gridCol w:w="1530"/>
        <w:gridCol w:w="1350"/>
      </w:tblGrid>
      <w:tr w:rsidR="003E57C0">
        <w:tc>
          <w:tcPr>
            <w:tcW w:w="3438"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jc w:val="center"/>
              <w:rPr>
                <w:b/>
                <w:bCs/>
                <w:i/>
                <w:iCs/>
                <w:sz w:val="24"/>
                <w:szCs w:val="24"/>
              </w:rPr>
            </w:pPr>
            <w:r>
              <w:rPr>
                <w:b/>
                <w:bCs/>
                <w:i/>
                <w:iCs/>
                <w:sz w:val="24"/>
                <w:szCs w:val="24"/>
              </w:rPr>
              <w:t>VA Subaccount Name</w:t>
            </w:r>
          </w:p>
        </w:tc>
        <w:tc>
          <w:tcPr>
            <w:tcW w:w="3330"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jc w:val="center"/>
              <w:rPr>
                <w:b/>
                <w:bCs/>
                <w:i/>
                <w:iCs/>
                <w:sz w:val="24"/>
                <w:szCs w:val="24"/>
              </w:rPr>
            </w:pPr>
            <w:r>
              <w:rPr>
                <w:b/>
                <w:bCs/>
                <w:i/>
                <w:iCs/>
                <w:sz w:val="24"/>
                <w:szCs w:val="24"/>
              </w:rPr>
              <w:t>Improper Benchmark Used</w:t>
            </w:r>
          </w:p>
        </w:tc>
        <w:tc>
          <w:tcPr>
            <w:tcW w:w="1710"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jc w:val="center"/>
              <w:rPr>
                <w:b/>
                <w:bCs/>
                <w:i/>
                <w:iCs/>
                <w:sz w:val="24"/>
                <w:szCs w:val="24"/>
              </w:rPr>
            </w:pPr>
            <w:r>
              <w:rPr>
                <w:b/>
                <w:bCs/>
                <w:i/>
                <w:iCs/>
                <w:sz w:val="24"/>
                <w:szCs w:val="24"/>
              </w:rPr>
              <w:t>Bench-</w:t>
            </w:r>
          </w:p>
          <w:p w:rsidR="003E57C0" w:rsidRDefault="00400BE3">
            <w:pPr>
              <w:jc w:val="center"/>
              <w:rPr>
                <w:b/>
                <w:bCs/>
                <w:i/>
                <w:iCs/>
                <w:sz w:val="24"/>
                <w:szCs w:val="24"/>
              </w:rPr>
            </w:pPr>
            <w:r>
              <w:rPr>
                <w:b/>
                <w:bCs/>
                <w:i/>
                <w:iCs/>
                <w:sz w:val="24"/>
                <w:szCs w:val="24"/>
              </w:rPr>
              <w:t>mark</w:t>
            </w:r>
          </w:p>
          <w:p w:rsidR="003E57C0" w:rsidRDefault="00400BE3">
            <w:pPr>
              <w:jc w:val="center"/>
              <w:rPr>
                <w:b/>
                <w:bCs/>
                <w:i/>
                <w:iCs/>
                <w:sz w:val="24"/>
                <w:szCs w:val="24"/>
              </w:rPr>
            </w:pPr>
            <w:r>
              <w:rPr>
                <w:b/>
                <w:bCs/>
                <w:i/>
                <w:iCs/>
                <w:sz w:val="24"/>
                <w:szCs w:val="24"/>
              </w:rPr>
              <w:t xml:space="preserve"> ROR</w:t>
            </w:r>
          </w:p>
        </w:tc>
        <w:tc>
          <w:tcPr>
            <w:tcW w:w="1530"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tabs>
                <w:tab w:val="left" w:pos="432"/>
              </w:tabs>
              <w:jc w:val="center"/>
              <w:rPr>
                <w:b/>
                <w:bCs/>
                <w:i/>
                <w:iCs/>
                <w:sz w:val="24"/>
                <w:szCs w:val="24"/>
              </w:rPr>
            </w:pPr>
            <w:r>
              <w:rPr>
                <w:b/>
                <w:bCs/>
                <w:i/>
                <w:iCs/>
                <w:sz w:val="24"/>
                <w:szCs w:val="24"/>
              </w:rPr>
              <w:t>1 Year Sub-Account</w:t>
            </w:r>
          </w:p>
          <w:p w:rsidR="003E57C0" w:rsidRDefault="00400BE3">
            <w:pPr>
              <w:tabs>
                <w:tab w:val="left" w:pos="432"/>
              </w:tabs>
              <w:jc w:val="center"/>
              <w:rPr>
                <w:b/>
                <w:bCs/>
                <w:i/>
                <w:iCs/>
                <w:sz w:val="24"/>
                <w:szCs w:val="24"/>
              </w:rPr>
            </w:pPr>
            <w:r>
              <w:rPr>
                <w:b/>
                <w:bCs/>
                <w:i/>
                <w:iCs/>
                <w:sz w:val="24"/>
                <w:szCs w:val="24"/>
              </w:rPr>
              <w:t>ROR</w:t>
            </w:r>
          </w:p>
        </w:tc>
        <w:tc>
          <w:tcPr>
            <w:tcW w:w="1350"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jc w:val="center"/>
              <w:rPr>
                <w:b/>
                <w:bCs/>
                <w:i/>
                <w:iCs/>
                <w:sz w:val="24"/>
                <w:szCs w:val="24"/>
              </w:rPr>
            </w:pPr>
            <w:r>
              <w:rPr>
                <w:b/>
                <w:bCs/>
                <w:i/>
                <w:iCs/>
                <w:sz w:val="24"/>
                <w:szCs w:val="24"/>
              </w:rPr>
              <w:t>1 Year Delta</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Alger American Growth</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S&amp;P 500</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42.57%</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+5.90%</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AUL American Bond</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Lehman Aggregate Bonds</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12.61%</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12.67%</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+0.06%</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American Money Market</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Lehman Aggregate Bonds</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12.61%</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3.92%</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-8.69%</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American Managed Portfolio</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S&amp;P 500</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16.43%</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-20.24%</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AUL American Equity</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S&amp;P 500</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19.46%</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-15.68%</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Calvert Capital Accumulation</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S&amp;P 500</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30.65%</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-1.42%</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Fidelity Growth Portfolio</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S&amp;P 500</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38.09%</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+1.42%</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Fidelity Asset Manager</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S&amp;P 500</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17.72%</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-18.95%</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Fidelity Equity Income</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S&amp;P 500</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31.91%</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+4.76%</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Fidelity High Income</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Lehman Aggregate Bonds</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12.61%</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19.48%</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+6.87%</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Fidelity VIP II Index 500</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S&amp;P 500 (OK)</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34.55%</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-2.12%</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Fidelity Overseas Portfolio</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S&amp;P 500</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15.21%</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-21.46%</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 xml:space="preserve">Fidelity </w:t>
            </w:r>
            <w:proofErr w:type="spellStart"/>
            <w:r>
              <w:rPr>
                <w:b/>
                <w:bCs/>
                <w:sz w:val="24"/>
                <w:szCs w:val="24"/>
              </w:rPr>
              <w:t>Contrafund</w:t>
            </w:r>
            <w:proofErr w:type="spellEnd"/>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S&amp;P 500</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39.32%</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+2.65</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INVESCO Dynamics</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S&amp;P 500</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38.71%</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+2.04</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 xml:space="preserve">PBHG Growth </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S&amp;P 500</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52.33%</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15.66</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20th Century TCI Growth</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S&amp;P 500</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25.22%</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-11.45%</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20th Century Select</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S&amp;P 500</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26.55%</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-10.12%</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20th Century Ultra</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S&amp;P 500</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42.97%</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+6.3%</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20th Century Int’l Equity</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S&amp;P 500</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20.65%</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-16.02%</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T. Rowe Price Equity Income</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S&amp;P 500</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31.37%</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-5.3%</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proofErr w:type="spellStart"/>
            <w:r>
              <w:rPr>
                <w:b/>
                <w:bCs/>
                <w:sz w:val="24"/>
                <w:szCs w:val="24"/>
              </w:rPr>
              <w:t>Vangrd</w:t>
            </w:r>
            <w:proofErr w:type="spellEnd"/>
            <w:r>
              <w:rPr>
                <w:b/>
                <w:bCs/>
                <w:sz w:val="24"/>
                <w:szCs w:val="24"/>
              </w:rPr>
              <w:t>: Short Term Fed Bond</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Lehman Aggregate Bonds</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12.61%</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10.30%</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-2.31%</w:t>
            </w:r>
          </w:p>
        </w:tc>
      </w:tr>
      <w:tr w:rsidR="003E57C0">
        <w:tc>
          <w:tcPr>
            <w:tcW w:w="3438" w:type="dxa"/>
            <w:tcBorders>
              <w:top w:val="nil"/>
              <w:left w:val="single" w:sz="6" w:space="0" w:color="000000"/>
              <w:bottom w:val="single" w:sz="6" w:space="0" w:color="000000"/>
              <w:right w:val="single" w:sz="6" w:space="0" w:color="000000"/>
            </w:tcBorders>
            <w:shd w:val="pct50" w:color="C0C0C0" w:fill="FFFFFF"/>
          </w:tcPr>
          <w:p w:rsidR="003E57C0" w:rsidRDefault="00400BE3">
            <w:pPr>
              <w:jc w:val="center"/>
              <w:rPr>
                <w:b/>
                <w:bCs/>
                <w:sz w:val="24"/>
                <w:szCs w:val="24"/>
              </w:rPr>
            </w:pPr>
            <w:r>
              <w:rPr>
                <w:b/>
                <w:bCs/>
                <w:sz w:val="24"/>
                <w:szCs w:val="24"/>
              </w:rPr>
              <w:t>Vanguard Explorer</w:t>
            </w:r>
          </w:p>
        </w:tc>
        <w:tc>
          <w:tcPr>
            <w:tcW w:w="3330" w:type="dxa"/>
            <w:tcBorders>
              <w:top w:val="nil"/>
              <w:left w:val="single" w:sz="6" w:space="0" w:color="000000"/>
              <w:bottom w:val="single" w:sz="6" w:space="0" w:color="000000"/>
              <w:right w:val="single" w:sz="6" w:space="0" w:color="000000"/>
            </w:tcBorders>
            <w:shd w:val="pct50" w:color="C0C0C0" w:fill="FFFFFF"/>
          </w:tcPr>
          <w:p w:rsidR="003E57C0" w:rsidRDefault="00400BE3">
            <w:pPr>
              <w:jc w:val="center"/>
              <w:rPr>
                <w:sz w:val="24"/>
                <w:szCs w:val="24"/>
              </w:rPr>
            </w:pPr>
            <w:r>
              <w:rPr>
                <w:sz w:val="24"/>
                <w:szCs w:val="24"/>
              </w:rPr>
              <w:t>S&amp;P 500</w:t>
            </w:r>
          </w:p>
        </w:tc>
        <w:tc>
          <w:tcPr>
            <w:tcW w:w="1710" w:type="dxa"/>
            <w:tcBorders>
              <w:top w:val="nil"/>
              <w:left w:val="single" w:sz="6" w:space="0" w:color="000000"/>
              <w:bottom w:val="single" w:sz="6" w:space="0" w:color="000000"/>
              <w:right w:val="single" w:sz="6" w:space="0" w:color="000000"/>
            </w:tcBorders>
            <w:shd w:val="pct50" w:color="C0C0C0" w:fill="FFFFFF"/>
          </w:tcPr>
          <w:p w:rsidR="003E57C0" w:rsidRDefault="00400BE3">
            <w:pPr>
              <w:jc w:val="center"/>
              <w:rPr>
                <w:sz w:val="24"/>
                <w:szCs w:val="24"/>
              </w:rPr>
            </w:pPr>
            <w:r>
              <w:rPr>
                <w:sz w:val="24"/>
                <w:szCs w:val="24"/>
              </w:rPr>
              <w:t>36.67%</w:t>
            </w:r>
          </w:p>
        </w:tc>
        <w:tc>
          <w:tcPr>
            <w:tcW w:w="1530" w:type="dxa"/>
            <w:tcBorders>
              <w:top w:val="nil"/>
              <w:left w:val="single" w:sz="6" w:space="0" w:color="000000"/>
              <w:bottom w:val="single" w:sz="6" w:space="0" w:color="000000"/>
              <w:right w:val="single" w:sz="6" w:space="0" w:color="000000"/>
            </w:tcBorders>
            <w:shd w:val="pct50" w:color="C0C0C0" w:fill="FFFFFF"/>
          </w:tcPr>
          <w:p w:rsidR="003E57C0" w:rsidRDefault="00400BE3">
            <w:pPr>
              <w:jc w:val="center"/>
              <w:rPr>
                <w:sz w:val="24"/>
                <w:szCs w:val="24"/>
              </w:rPr>
            </w:pPr>
            <w:r>
              <w:rPr>
                <w:sz w:val="24"/>
                <w:szCs w:val="24"/>
              </w:rPr>
              <w:t>26.86%</w:t>
            </w:r>
          </w:p>
        </w:tc>
        <w:tc>
          <w:tcPr>
            <w:tcW w:w="1350" w:type="dxa"/>
            <w:tcBorders>
              <w:top w:val="nil"/>
              <w:left w:val="single" w:sz="6" w:space="0" w:color="000000"/>
              <w:bottom w:val="single" w:sz="6" w:space="0" w:color="000000"/>
              <w:right w:val="single" w:sz="6" w:space="0" w:color="000000"/>
            </w:tcBorders>
            <w:shd w:val="pct50" w:color="C0C0C0" w:fill="FFFFFF"/>
          </w:tcPr>
          <w:p w:rsidR="003E57C0" w:rsidRDefault="00400BE3">
            <w:pPr>
              <w:jc w:val="center"/>
              <w:rPr>
                <w:sz w:val="24"/>
                <w:szCs w:val="24"/>
              </w:rPr>
            </w:pPr>
            <w:r>
              <w:rPr>
                <w:sz w:val="24"/>
                <w:szCs w:val="24"/>
              </w:rPr>
              <w:t>-9.81%</w:t>
            </w:r>
          </w:p>
        </w:tc>
      </w:tr>
    </w:tbl>
    <w:p w:rsidR="003E57C0" w:rsidRDefault="003E57C0">
      <w:pPr>
        <w:jc w:val="center"/>
        <w:rPr>
          <w:b/>
          <w:bCs/>
          <w:sz w:val="24"/>
          <w:szCs w:val="24"/>
        </w:rPr>
      </w:pPr>
    </w:p>
    <w:p w:rsidR="003E57C0" w:rsidRDefault="003E57C0">
      <w:pPr>
        <w:jc w:val="center"/>
        <w:rPr>
          <w:b/>
          <w:bCs/>
          <w:sz w:val="24"/>
          <w:szCs w:val="24"/>
        </w:rPr>
      </w:pPr>
    </w:p>
    <w:p w:rsidR="00DC3357" w:rsidRDefault="00DC3357">
      <w:pPr>
        <w:autoSpaceDE/>
        <w:autoSpaceDN/>
        <w:spacing w:after="200" w:line="276" w:lineRule="auto"/>
        <w:rPr>
          <w:b/>
          <w:bCs/>
          <w:sz w:val="24"/>
          <w:szCs w:val="24"/>
        </w:rPr>
      </w:pPr>
      <w:r>
        <w:rPr>
          <w:b/>
          <w:bCs/>
          <w:sz w:val="24"/>
          <w:szCs w:val="24"/>
        </w:rPr>
        <w:br w:type="page"/>
      </w:r>
    </w:p>
    <w:p w:rsidR="003E57C0" w:rsidRDefault="003E57C0">
      <w:pPr>
        <w:jc w:val="center"/>
        <w:rPr>
          <w:b/>
          <w:bCs/>
          <w:sz w:val="24"/>
          <w:szCs w:val="24"/>
        </w:rPr>
      </w:pPr>
    </w:p>
    <w:p w:rsidR="003E57C0" w:rsidRDefault="00400BE3">
      <w:pPr>
        <w:jc w:val="center"/>
        <w:rPr>
          <w:b/>
          <w:bCs/>
          <w:sz w:val="24"/>
          <w:szCs w:val="24"/>
        </w:rPr>
      </w:pPr>
      <w:r>
        <w:rPr>
          <w:b/>
          <w:bCs/>
          <w:sz w:val="24"/>
          <w:szCs w:val="24"/>
        </w:rPr>
        <w:t>THE FOLLOWING CHARTS ARE APPLES TO APPLES USING THE CORRECT BENCHMARKS:</w:t>
      </w:r>
    </w:p>
    <w:p w:rsidR="003E57C0" w:rsidRDefault="003E57C0">
      <w:pPr>
        <w:jc w:val="center"/>
        <w:rPr>
          <w:sz w:val="24"/>
          <w:szCs w:val="24"/>
        </w:rPr>
      </w:pPr>
    </w:p>
    <w:p w:rsidR="003E57C0" w:rsidRDefault="003E57C0">
      <w:pPr>
        <w:jc w:val="center"/>
        <w:rPr>
          <w:sz w:val="24"/>
          <w:szCs w:val="24"/>
        </w:rPr>
      </w:pPr>
    </w:p>
    <w:p w:rsidR="003E57C0" w:rsidRDefault="003E57C0">
      <w:pPr>
        <w:jc w:val="center"/>
        <w:rPr>
          <w:sz w:val="24"/>
          <w:szCs w:val="24"/>
        </w:rPr>
      </w:pPr>
    </w:p>
    <w:p w:rsidR="003E57C0" w:rsidRDefault="00400BE3">
      <w:pPr>
        <w:jc w:val="center"/>
        <w:rPr>
          <w:sz w:val="24"/>
          <w:szCs w:val="24"/>
        </w:rPr>
      </w:pPr>
      <w:r>
        <w:rPr>
          <w:sz w:val="24"/>
          <w:szCs w:val="24"/>
        </w:rPr>
        <w:t xml:space="preserve">All benchmarks are Variable Annuity (VA) indexes complied by CDA </w:t>
      </w:r>
      <w:proofErr w:type="spellStart"/>
      <w:r>
        <w:rPr>
          <w:sz w:val="24"/>
          <w:szCs w:val="24"/>
        </w:rPr>
        <w:t>Weisenberger</w:t>
      </w:r>
      <w:proofErr w:type="spellEnd"/>
      <w:r>
        <w:rPr>
          <w:sz w:val="24"/>
          <w:szCs w:val="24"/>
        </w:rPr>
        <w:t>, Inc.</w:t>
      </w:r>
    </w:p>
    <w:p w:rsidR="003E57C0" w:rsidRDefault="003E57C0">
      <w:pPr>
        <w:rPr>
          <w:sz w:val="24"/>
          <w:szCs w:val="24"/>
        </w:rPr>
      </w:pPr>
    </w:p>
    <w:p w:rsidR="003E57C0" w:rsidRDefault="003E57C0">
      <w:pPr>
        <w:rPr>
          <w:sz w:val="24"/>
          <w:szCs w:val="24"/>
        </w:rPr>
      </w:pPr>
    </w:p>
    <w:tbl>
      <w:tblPr>
        <w:tblW w:w="0" w:type="auto"/>
        <w:tblLayout w:type="fixed"/>
        <w:tblLook w:val="0000" w:firstRow="0" w:lastRow="0" w:firstColumn="0" w:lastColumn="0" w:noHBand="0" w:noVBand="0"/>
      </w:tblPr>
      <w:tblGrid>
        <w:gridCol w:w="3438"/>
        <w:gridCol w:w="3330"/>
        <w:gridCol w:w="1710"/>
        <w:gridCol w:w="1530"/>
        <w:gridCol w:w="1350"/>
      </w:tblGrid>
      <w:tr w:rsidR="003E57C0">
        <w:tc>
          <w:tcPr>
            <w:tcW w:w="3438"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jc w:val="center"/>
              <w:rPr>
                <w:b/>
                <w:bCs/>
                <w:i/>
                <w:iCs/>
                <w:sz w:val="24"/>
                <w:szCs w:val="24"/>
              </w:rPr>
            </w:pPr>
            <w:r>
              <w:rPr>
                <w:b/>
                <w:bCs/>
                <w:i/>
                <w:iCs/>
                <w:sz w:val="24"/>
                <w:szCs w:val="24"/>
              </w:rPr>
              <w:t>VA Subaccount Name</w:t>
            </w:r>
          </w:p>
        </w:tc>
        <w:tc>
          <w:tcPr>
            <w:tcW w:w="3330"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jc w:val="center"/>
              <w:rPr>
                <w:b/>
                <w:bCs/>
                <w:i/>
                <w:iCs/>
                <w:sz w:val="24"/>
                <w:szCs w:val="24"/>
              </w:rPr>
            </w:pPr>
            <w:r>
              <w:rPr>
                <w:b/>
                <w:bCs/>
                <w:i/>
                <w:iCs/>
                <w:sz w:val="24"/>
                <w:szCs w:val="24"/>
              </w:rPr>
              <w:t>Proper Benchmark Used</w:t>
            </w:r>
          </w:p>
        </w:tc>
        <w:tc>
          <w:tcPr>
            <w:tcW w:w="1710"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jc w:val="center"/>
              <w:rPr>
                <w:b/>
                <w:bCs/>
                <w:i/>
                <w:iCs/>
                <w:sz w:val="24"/>
                <w:szCs w:val="24"/>
              </w:rPr>
            </w:pPr>
            <w:r>
              <w:rPr>
                <w:b/>
                <w:bCs/>
                <w:i/>
                <w:iCs/>
                <w:sz w:val="24"/>
                <w:szCs w:val="24"/>
              </w:rPr>
              <w:t>Bench-</w:t>
            </w:r>
          </w:p>
          <w:p w:rsidR="003E57C0" w:rsidRDefault="00400BE3">
            <w:pPr>
              <w:jc w:val="center"/>
              <w:rPr>
                <w:b/>
                <w:bCs/>
                <w:i/>
                <w:iCs/>
                <w:sz w:val="24"/>
                <w:szCs w:val="24"/>
              </w:rPr>
            </w:pPr>
            <w:r>
              <w:rPr>
                <w:b/>
                <w:bCs/>
                <w:i/>
                <w:iCs/>
                <w:sz w:val="24"/>
                <w:szCs w:val="24"/>
              </w:rPr>
              <w:t>mark</w:t>
            </w:r>
          </w:p>
          <w:p w:rsidR="003E57C0" w:rsidRDefault="00400BE3">
            <w:pPr>
              <w:jc w:val="center"/>
              <w:rPr>
                <w:b/>
                <w:bCs/>
                <w:i/>
                <w:iCs/>
                <w:sz w:val="24"/>
                <w:szCs w:val="24"/>
              </w:rPr>
            </w:pPr>
            <w:r>
              <w:rPr>
                <w:b/>
                <w:bCs/>
                <w:i/>
                <w:iCs/>
                <w:sz w:val="24"/>
                <w:szCs w:val="24"/>
              </w:rPr>
              <w:t xml:space="preserve"> ROR</w:t>
            </w:r>
          </w:p>
        </w:tc>
        <w:tc>
          <w:tcPr>
            <w:tcW w:w="1530"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tabs>
                <w:tab w:val="left" w:pos="432"/>
              </w:tabs>
              <w:jc w:val="center"/>
              <w:rPr>
                <w:b/>
                <w:bCs/>
                <w:i/>
                <w:iCs/>
                <w:sz w:val="24"/>
                <w:szCs w:val="24"/>
              </w:rPr>
            </w:pPr>
            <w:r>
              <w:rPr>
                <w:b/>
                <w:bCs/>
                <w:i/>
                <w:iCs/>
                <w:sz w:val="24"/>
                <w:szCs w:val="24"/>
              </w:rPr>
              <w:t>1 Year Sub-Account</w:t>
            </w:r>
          </w:p>
          <w:p w:rsidR="003E57C0" w:rsidRDefault="00400BE3">
            <w:pPr>
              <w:tabs>
                <w:tab w:val="left" w:pos="432"/>
              </w:tabs>
              <w:jc w:val="center"/>
              <w:rPr>
                <w:b/>
                <w:bCs/>
                <w:i/>
                <w:iCs/>
                <w:sz w:val="24"/>
                <w:szCs w:val="24"/>
              </w:rPr>
            </w:pPr>
            <w:r>
              <w:rPr>
                <w:b/>
                <w:bCs/>
                <w:i/>
                <w:iCs/>
                <w:sz w:val="24"/>
                <w:szCs w:val="24"/>
              </w:rPr>
              <w:t>ROR</w:t>
            </w:r>
          </w:p>
        </w:tc>
        <w:tc>
          <w:tcPr>
            <w:tcW w:w="1350"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jc w:val="center"/>
              <w:rPr>
                <w:b/>
                <w:bCs/>
                <w:i/>
                <w:iCs/>
                <w:sz w:val="24"/>
                <w:szCs w:val="24"/>
              </w:rPr>
            </w:pPr>
            <w:r>
              <w:rPr>
                <w:b/>
                <w:bCs/>
                <w:i/>
                <w:iCs/>
                <w:sz w:val="24"/>
                <w:szCs w:val="24"/>
              </w:rPr>
              <w:t>1 Year</w:t>
            </w:r>
            <w:r>
              <w:rPr>
                <w:b/>
                <w:bCs/>
                <w:i/>
                <w:iCs/>
                <w:sz w:val="24"/>
                <w:szCs w:val="24"/>
              </w:rPr>
              <w:br/>
              <w:t>Delta</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Alger American Growth</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Long Term Growth</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30.19%</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42.57%</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+12.38%</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AUL American Bond</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Corporate Bond</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11.05%</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12.67%</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-1.62%</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AUL American Money Market</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Money Market</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2.28%</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3.92%</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+1.64%</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American Managed Portfolio</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Balanced</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19.75%</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16.43%</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-3.32%</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AUL American Equity</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Long Term Growth</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30.19%</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19.46%</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-10.73%</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Calvert Capital Accumulation</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Small Company Growth</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27.21%</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30.65%</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+3.44%</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Fidelity Growth Portfolio</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Long Term Growth</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30.19%</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38.09%</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+7.90%</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Fidelity Asset Manager</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Asset Allocation</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19.35%</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17.72%</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-1.63%</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Fidelity Equity Income</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Equity Income</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28.44%</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31.91%</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+3.47%</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Fidelity High Income Portfolio</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Corporate High Yield</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15.56%</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19.48%</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+3.92%</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Fidelity VIP II Index 500</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S&amp;P 500 Composite</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35.12%</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34.55%</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-.057%</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Fidelity Overseas Portfolio</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International Equity</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16.31%</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15.21%</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-1.10%</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 xml:space="preserve">Fidelity </w:t>
            </w:r>
            <w:proofErr w:type="spellStart"/>
            <w:r>
              <w:rPr>
                <w:b/>
                <w:bCs/>
                <w:sz w:val="24"/>
                <w:szCs w:val="24"/>
              </w:rPr>
              <w:t>Contrafund</w:t>
            </w:r>
            <w:proofErr w:type="spellEnd"/>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Long Term Growth</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30.19%</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39.32%</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+9.13%</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INVESCO Dynamics</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Small Company Growth</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27.21%</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38.71%</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+11.50%</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 xml:space="preserve">PBHG Growth </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Small Company Growth</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27.21%</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52.33%</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+25.12%</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20th Century TCI Growth</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International Equity</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16.31%</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25.22%</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+8.91%</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20th Century Select</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Long Term Growth</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30.19%</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26.55%</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-3.64%</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20th Century Ultra</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Small Company Growth</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27.21%</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42.97%</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+15.76%</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20th Century Int’l Equity</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International Equity</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16.31%</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20.65%</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+4.34%</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T. Rowe Price Equity Income</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Equity Income</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28.44%</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31.37%</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+2.93%</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proofErr w:type="spellStart"/>
            <w:r>
              <w:rPr>
                <w:b/>
                <w:bCs/>
                <w:sz w:val="24"/>
                <w:szCs w:val="24"/>
              </w:rPr>
              <w:t>Vangrd</w:t>
            </w:r>
            <w:proofErr w:type="spellEnd"/>
            <w:r>
              <w:rPr>
                <w:b/>
                <w:bCs/>
                <w:sz w:val="24"/>
                <w:szCs w:val="24"/>
              </w:rPr>
              <w:t>: Short Term Fed Bond</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Gov Securities</w:t>
            </w:r>
            <w:r w:rsidR="00FC380F">
              <w:rPr>
                <w:sz w:val="24"/>
                <w:szCs w:val="24"/>
              </w:rPr>
              <w:t xml:space="preserve"> </w:t>
            </w:r>
            <w:r>
              <w:rPr>
                <w:sz w:val="24"/>
                <w:szCs w:val="24"/>
              </w:rPr>
              <w:t>(Closest)</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13.27</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10.30%</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-2.97%</w:t>
            </w:r>
          </w:p>
        </w:tc>
      </w:tr>
      <w:tr w:rsidR="003E57C0">
        <w:tc>
          <w:tcPr>
            <w:tcW w:w="3438" w:type="dxa"/>
            <w:tcBorders>
              <w:top w:val="nil"/>
              <w:left w:val="single" w:sz="6" w:space="0" w:color="000000"/>
              <w:bottom w:val="single" w:sz="6" w:space="0" w:color="000000"/>
              <w:right w:val="single" w:sz="6" w:space="0" w:color="000000"/>
            </w:tcBorders>
            <w:shd w:val="pct50" w:color="C0C0C0" w:fill="FFFFFF"/>
          </w:tcPr>
          <w:p w:rsidR="003E57C0" w:rsidRDefault="00400BE3">
            <w:pPr>
              <w:jc w:val="center"/>
              <w:rPr>
                <w:b/>
                <w:bCs/>
                <w:sz w:val="24"/>
                <w:szCs w:val="24"/>
              </w:rPr>
            </w:pPr>
            <w:r>
              <w:rPr>
                <w:b/>
                <w:bCs/>
                <w:sz w:val="24"/>
                <w:szCs w:val="24"/>
              </w:rPr>
              <w:t>Vanguard Explorer</w:t>
            </w:r>
          </w:p>
        </w:tc>
        <w:tc>
          <w:tcPr>
            <w:tcW w:w="3330" w:type="dxa"/>
            <w:tcBorders>
              <w:top w:val="nil"/>
              <w:left w:val="single" w:sz="6" w:space="0" w:color="000000"/>
              <w:bottom w:val="single" w:sz="6" w:space="0" w:color="000000"/>
              <w:right w:val="single" w:sz="6" w:space="0" w:color="000000"/>
            </w:tcBorders>
            <w:shd w:val="pct50" w:color="C0C0C0" w:fill="FFFFFF"/>
          </w:tcPr>
          <w:p w:rsidR="003E57C0" w:rsidRDefault="00400BE3">
            <w:pPr>
              <w:jc w:val="center"/>
              <w:rPr>
                <w:sz w:val="24"/>
                <w:szCs w:val="24"/>
              </w:rPr>
            </w:pPr>
            <w:r>
              <w:rPr>
                <w:sz w:val="24"/>
                <w:szCs w:val="24"/>
              </w:rPr>
              <w:t>VA- Small Company Growth</w:t>
            </w:r>
          </w:p>
        </w:tc>
        <w:tc>
          <w:tcPr>
            <w:tcW w:w="1710" w:type="dxa"/>
            <w:tcBorders>
              <w:top w:val="nil"/>
              <w:left w:val="single" w:sz="6" w:space="0" w:color="000000"/>
              <w:bottom w:val="single" w:sz="6" w:space="0" w:color="000000"/>
              <w:right w:val="single" w:sz="6" w:space="0" w:color="000000"/>
            </w:tcBorders>
            <w:shd w:val="pct50" w:color="C0C0C0" w:fill="FFFFFF"/>
          </w:tcPr>
          <w:p w:rsidR="003E57C0" w:rsidRDefault="00400BE3">
            <w:pPr>
              <w:jc w:val="center"/>
              <w:rPr>
                <w:sz w:val="24"/>
                <w:szCs w:val="24"/>
              </w:rPr>
            </w:pPr>
            <w:r>
              <w:rPr>
                <w:sz w:val="24"/>
                <w:szCs w:val="24"/>
              </w:rPr>
              <w:t>27.21%</w:t>
            </w:r>
          </w:p>
        </w:tc>
        <w:tc>
          <w:tcPr>
            <w:tcW w:w="1530" w:type="dxa"/>
            <w:tcBorders>
              <w:top w:val="nil"/>
              <w:left w:val="single" w:sz="6" w:space="0" w:color="000000"/>
              <w:bottom w:val="single" w:sz="6" w:space="0" w:color="000000"/>
              <w:right w:val="single" w:sz="6" w:space="0" w:color="000000"/>
            </w:tcBorders>
            <w:shd w:val="pct50" w:color="C0C0C0" w:fill="FFFFFF"/>
          </w:tcPr>
          <w:p w:rsidR="003E57C0" w:rsidRDefault="00400BE3">
            <w:pPr>
              <w:jc w:val="center"/>
              <w:rPr>
                <w:sz w:val="24"/>
                <w:szCs w:val="24"/>
              </w:rPr>
            </w:pPr>
            <w:r>
              <w:rPr>
                <w:sz w:val="24"/>
                <w:szCs w:val="24"/>
              </w:rPr>
              <w:t>26.86%</w:t>
            </w:r>
          </w:p>
        </w:tc>
        <w:tc>
          <w:tcPr>
            <w:tcW w:w="1350" w:type="dxa"/>
            <w:tcBorders>
              <w:top w:val="nil"/>
              <w:left w:val="single" w:sz="6" w:space="0" w:color="000000"/>
              <w:bottom w:val="single" w:sz="6" w:space="0" w:color="000000"/>
              <w:right w:val="single" w:sz="6" w:space="0" w:color="000000"/>
            </w:tcBorders>
            <w:shd w:val="pct50" w:color="C0C0C0" w:fill="FFFFFF"/>
          </w:tcPr>
          <w:p w:rsidR="003E57C0" w:rsidRDefault="00400BE3">
            <w:pPr>
              <w:jc w:val="center"/>
              <w:rPr>
                <w:sz w:val="24"/>
                <w:szCs w:val="24"/>
              </w:rPr>
            </w:pPr>
            <w:r>
              <w:rPr>
                <w:sz w:val="24"/>
                <w:szCs w:val="24"/>
              </w:rPr>
              <w:t>-0.35%</w:t>
            </w:r>
          </w:p>
        </w:tc>
      </w:tr>
    </w:tbl>
    <w:p w:rsidR="003E57C0" w:rsidRDefault="003E57C0">
      <w:pPr>
        <w:rPr>
          <w:sz w:val="24"/>
          <w:szCs w:val="24"/>
        </w:rPr>
      </w:pPr>
    </w:p>
    <w:p w:rsidR="003E57C0" w:rsidRDefault="00400BE3">
      <w:pPr>
        <w:rPr>
          <w:sz w:val="24"/>
          <w:szCs w:val="24"/>
        </w:rPr>
      </w:pPr>
      <w:r>
        <w:rPr>
          <w:sz w:val="24"/>
          <w:szCs w:val="24"/>
        </w:rPr>
        <w:tab/>
      </w:r>
    </w:p>
    <w:p w:rsidR="003E57C0" w:rsidRDefault="003E57C0">
      <w:pPr>
        <w:rPr>
          <w:sz w:val="24"/>
          <w:szCs w:val="24"/>
        </w:rPr>
      </w:pPr>
    </w:p>
    <w:p w:rsidR="003E57C0" w:rsidRDefault="003E57C0">
      <w:pPr>
        <w:rPr>
          <w:sz w:val="24"/>
          <w:szCs w:val="24"/>
        </w:rPr>
      </w:pPr>
    </w:p>
    <w:p w:rsidR="003E57C0" w:rsidRDefault="003E57C0">
      <w:pPr>
        <w:rPr>
          <w:sz w:val="24"/>
          <w:szCs w:val="24"/>
        </w:rPr>
      </w:pPr>
    </w:p>
    <w:p w:rsidR="003E57C0" w:rsidRDefault="003E57C0">
      <w:pPr>
        <w:rPr>
          <w:sz w:val="24"/>
          <w:szCs w:val="24"/>
        </w:rPr>
      </w:pPr>
    </w:p>
    <w:p w:rsidR="003E57C0" w:rsidRDefault="003E57C0">
      <w:pPr>
        <w:rPr>
          <w:sz w:val="24"/>
          <w:szCs w:val="24"/>
        </w:rPr>
      </w:pPr>
    </w:p>
    <w:p w:rsidR="003E57C0" w:rsidRDefault="003E57C0">
      <w:pPr>
        <w:rPr>
          <w:sz w:val="24"/>
          <w:szCs w:val="24"/>
        </w:rPr>
      </w:pPr>
    </w:p>
    <w:p w:rsidR="003E57C0" w:rsidRDefault="003E57C0">
      <w:pPr>
        <w:rPr>
          <w:sz w:val="24"/>
          <w:szCs w:val="24"/>
        </w:rPr>
      </w:pPr>
    </w:p>
    <w:p w:rsidR="003E57C0" w:rsidRDefault="003E57C0">
      <w:pPr>
        <w:rPr>
          <w:sz w:val="24"/>
          <w:szCs w:val="24"/>
        </w:rPr>
      </w:pPr>
    </w:p>
    <w:p w:rsidR="00DC3357" w:rsidRDefault="00DC3357">
      <w:pPr>
        <w:autoSpaceDE/>
        <w:autoSpaceDN/>
        <w:spacing w:after="200" w:line="276" w:lineRule="auto"/>
        <w:rPr>
          <w:sz w:val="24"/>
          <w:szCs w:val="24"/>
        </w:rPr>
      </w:pPr>
      <w:r>
        <w:rPr>
          <w:sz w:val="24"/>
          <w:szCs w:val="24"/>
        </w:rPr>
        <w:br w:type="page"/>
      </w:r>
    </w:p>
    <w:p w:rsidR="003E57C0" w:rsidRDefault="003E57C0">
      <w:pPr>
        <w:rPr>
          <w:sz w:val="24"/>
          <w:szCs w:val="24"/>
        </w:rPr>
      </w:pPr>
    </w:p>
    <w:p w:rsidR="003E57C0" w:rsidRDefault="00400BE3">
      <w:pPr>
        <w:jc w:val="center"/>
        <w:rPr>
          <w:sz w:val="24"/>
          <w:szCs w:val="24"/>
        </w:rPr>
      </w:pPr>
      <w:r>
        <w:rPr>
          <w:b/>
          <w:bCs/>
          <w:sz w:val="24"/>
          <w:szCs w:val="24"/>
        </w:rPr>
        <w:t>3 Year Period: 1/1/93 to 12/31/95</w:t>
      </w:r>
    </w:p>
    <w:p w:rsidR="003E57C0" w:rsidRDefault="003E57C0">
      <w:pPr>
        <w:rPr>
          <w:sz w:val="24"/>
          <w:szCs w:val="24"/>
        </w:rPr>
      </w:pPr>
    </w:p>
    <w:p w:rsidR="003E57C0" w:rsidRDefault="003E57C0">
      <w:pPr>
        <w:rPr>
          <w:sz w:val="24"/>
          <w:szCs w:val="24"/>
        </w:rPr>
      </w:pPr>
    </w:p>
    <w:tbl>
      <w:tblPr>
        <w:tblW w:w="0" w:type="auto"/>
        <w:tblLayout w:type="fixed"/>
        <w:tblLook w:val="0000" w:firstRow="0" w:lastRow="0" w:firstColumn="0" w:lastColumn="0" w:noHBand="0" w:noVBand="0"/>
      </w:tblPr>
      <w:tblGrid>
        <w:gridCol w:w="3438"/>
        <w:gridCol w:w="3330"/>
        <w:gridCol w:w="1710"/>
        <w:gridCol w:w="1530"/>
        <w:gridCol w:w="1350"/>
      </w:tblGrid>
      <w:tr w:rsidR="003E57C0">
        <w:tc>
          <w:tcPr>
            <w:tcW w:w="3438"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jc w:val="center"/>
              <w:rPr>
                <w:b/>
                <w:bCs/>
                <w:i/>
                <w:iCs/>
                <w:sz w:val="24"/>
                <w:szCs w:val="24"/>
              </w:rPr>
            </w:pPr>
            <w:r>
              <w:rPr>
                <w:b/>
                <w:bCs/>
                <w:i/>
                <w:iCs/>
                <w:sz w:val="24"/>
                <w:szCs w:val="24"/>
              </w:rPr>
              <w:t>VA Subaccount Name</w:t>
            </w:r>
          </w:p>
        </w:tc>
        <w:tc>
          <w:tcPr>
            <w:tcW w:w="3330"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jc w:val="center"/>
              <w:rPr>
                <w:b/>
                <w:bCs/>
                <w:i/>
                <w:iCs/>
                <w:sz w:val="24"/>
                <w:szCs w:val="24"/>
              </w:rPr>
            </w:pPr>
            <w:r>
              <w:rPr>
                <w:b/>
                <w:bCs/>
                <w:i/>
                <w:iCs/>
                <w:sz w:val="24"/>
                <w:szCs w:val="24"/>
              </w:rPr>
              <w:t>Proper Benchmark Used</w:t>
            </w:r>
          </w:p>
        </w:tc>
        <w:tc>
          <w:tcPr>
            <w:tcW w:w="1710"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jc w:val="center"/>
              <w:rPr>
                <w:b/>
                <w:bCs/>
                <w:i/>
                <w:iCs/>
                <w:sz w:val="24"/>
                <w:szCs w:val="24"/>
              </w:rPr>
            </w:pPr>
            <w:r>
              <w:rPr>
                <w:b/>
                <w:bCs/>
                <w:i/>
                <w:iCs/>
                <w:sz w:val="24"/>
                <w:szCs w:val="24"/>
              </w:rPr>
              <w:t>Bench-</w:t>
            </w:r>
          </w:p>
          <w:p w:rsidR="003E57C0" w:rsidRDefault="00400BE3">
            <w:pPr>
              <w:jc w:val="center"/>
              <w:rPr>
                <w:b/>
                <w:bCs/>
                <w:i/>
                <w:iCs/>
                <w:sz w:val="24"/>
                <w:szCs w:val="24"/>
              </w:rPr>
            </w:pPr>
            <w:r>
              <w:rPr>
                <w:b/>
                <w:bCs/>
                <w:i/>
                <w:iCs/>
                <w:sz w:val="24"/>
                <w:szCs w:val="24"/>
              </w:rPr>
              <w:t>mark</w:t>
            </w:r>
          </w:p>
          <w:p w:rsidR="003E57C0" w:rsidRDefault="00400BE3">
            <w:pPr>
              <w:jc w:val="center"/>
              <w:rPr>
                <w:b/>
                <w:bCs/>
                <w:i/>
                <w:iCs/>
                <w:sz w:val="24"/>
                <w:szCs w:val="24"/>
              </w:rPr>
            </w:pPr>
            <w:r>
              <w:rPr>
                <w:b/>
                <w:bCs/>
                <w:i/>
                <w:iCs/>
                <w:sz w:val="24"/>
                <w:szCs w:val="24"/>
              </w:rPr>
              <w:t xml:space="preserve"> ROR</w:t>
            </w:r>
          </w:p>
        </w:tc>
        <w:tc>
          <w:tcPr>
            <w:tcW w:w="1530"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tabs>
                <w:tab w:val="left" w:pos="432"/>
              </w:tabs>
              <w:jc w:val="center"/>
              <w:rPr>
                <w:b/>
                <w:bCs/>
                <w:i/>
                <w:iCs/>
                <w:sz w:val="24"/>
                <w:szCs w:val="24"/>
              </w:rPr>
            </w:pPr>
            <w:r>
              <w:rPr>
                <w:b/>
                <w:bCs/>
                <w:i/>
                <w:iCs/>
                <w:sz w:val="24"/>
                <w:szCs w:val="24"/>
              </w:rPr>
              <w:t>3 Year Sub-Account</w:t>
            </w:r>
          </w:p>
          <w:p w:rsidR="003E57C0" w:rsidRDefault="00400BE3">
            <w:pPr>
              <w:tabs>
                <w:tab w:val="left" w:pos="432"/>
              </w:tabs>
              <w:jc w:val="center"/>
              <w:rPr>
                <w:b/>
                <w:bCs/>
                <w:i/>
                <w:iCs/>
                <w:sz w:val="24"/>
                <w:szCs w:val="24"/>
              </w:rPr>
            </w:pPr>
            <w:r>
              <w:rPr>
                <w:b/>
                <w:bCs/>
                <w:i/>
                <w:iCs/>
                <w:sz w:val="24"/>
                <w:szCs w:val="24"/>
              </w:rPr>
              <w:t>ROR</w:t>
            </w:r>
          </w:p>
        </w:tc>
        <w:tc>
          <w:tcPr>
            <w:tcW w:w="1350"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jc w:val="center"/>
              <w:rPr>
                <w:b/>
                <w:bCs/>
                <w:i/>
                <w:iCs/>
                <w:sz w:val="24"/>
                <w:szCs w:val="24"/>
              </w:rPr>
            </w:pPr>
            <w:r>
              <w:rPr>
                <w:b/>
                <w:bCs/>
                <w:i/>
                <w:iCs/>
                <w:sz w:val="24"/>
                <w:szCs w:val="24"/>
              </w:rPr>
              <w:t>3 Year</w:t>
            </w:r>
            <w:r>
              <w:rPr>
                <w:b/>
                <w:bCs/>
                <w:i/>
                <w:iCs/>
                <w:sz w:val="24"/>
                <w:szCs w:val="24"/>
              </w:rPr>
              <w:br/>
              <w:t>Delta</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Alger American Growth</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Long Term Growth</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10.69%</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17.75%</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+7.06%</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AUL American Bond</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Corporate Bond</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3.24%</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6.59%</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+3.35%</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AUL American Money Market</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Money Market</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2.79%</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2.42%</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-0.37%</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American Managed Portfolio</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Balanced</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6.35%</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8.70%</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+2.35%</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AUL American Equity</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Long Term Growth</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10.69%</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10.67%</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-0.02%</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Calvert Capital Accumulation</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Small Company Growth</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11.99%</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9.20%</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-2.79%</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Fidelity Growth Portfolio</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Long Term Growth</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10.69%</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15.88%</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+5.19%</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Fidelity Asset Manager</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Asset Allocation</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6.21%</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8.64%</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+2.43%</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Fidelity Equity Income</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Equity Income</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11.29%</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18.13%</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+6.84%</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Fidelity High Income Portfolio</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Corporate High Yield</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6.16%</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11.25%</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+5.09%</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Fidelity VIP II Index 500</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S&amp;P 500 Composite</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12.74%</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12.57%</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-0.17%</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Fidelity Overseas Portfolio</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International Equity</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8.13%</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13.86%</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+5.73%</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INVESCO Dynamics</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Small Company Growth</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11.99%</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15.62%</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+3.63%</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 xml:space="preserve">PBHG Growth </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Small Company Growth</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11.99%</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30.58%</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+18.59%</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20th Century TCI Growth</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Long Term Growth</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10.69%</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10.49%</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-0.20%</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20th Century Select</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Long Term Growth</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10.69%</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7.69%</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-3.00%</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20th Century Ultra</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Small Company Growth</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11.99%</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15.98%</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+3.99%</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20th Century Int’l Equity</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International Equity</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8.13%</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13.52%</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+5.39%</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proofErr w:type="spellStart"/>
            <w:r>
              <w:rPr>
                <w:b/>
                <w:bCs/>
                <w:sz w:val="24"/>
                <w:szCs w:val="24"/>
              </w:rPr>
              <w:t>Vangrd</w:t>
            </w:r>
            <w:proofErr w:type="spellEnd"/>
            <w:r>
              <w:rPr>
                <w:b/>
                <w:bCs/>
                <w:sz w:val="24"/>
                <w:szCs w:val="24"/>
              </w:rPr>
              <w:t>: Short Term Fed Bond</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Gov Securities</w:t>
            </w:r>
            <w:r w:rsidR="00FC380F">
              <w:rPr>
                <w:sz w:val="24"/>
                <w:szCs w:val="24"/>
              </w:rPr>
              <w:t xml:space="preserve"> </w:t>
            </w:r>
            <w:r>
              <w:rPr>
                <w:sz w:val="24"/>
                <w:szCs w:val="24"/>
              </w:rPr>
              <w:t>(Closest)</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5.75%</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4.43%</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-1.32%</w:t>
            </w:r>
          </w:p>
        </w:tc>
      </w:tr>
      <w:tr w:rsidR="003E57C0">
        <w:tc>
          <w:tcPr>
            <w:tcW w:w="3438" w:type="dxa"/>
            <w:tcBorders>
              <w:top w:val="nil"/>
              <w:left w:val="single" w:sz="6" w:space="0" w:color="000000"/>
              <w:bottom w:val="single" w:sz="6" w:space="0" w:color="000000"/>
              <w:right w:val="single" w:sz="6" w:space="0" w:color="000000"/>
            </w:tcBorders>
            <w:shd w:val="pct50" w:color="C0C0C0" w:fill="FFFFFF"/>
          </w:tcPr>
          <w:p w:rsidR="003E57C0" w:rsidRDefault="00400BE3">
            <w:pPr>
              <w:jc w:val="center"/>
              <w:rPr>
                <w:b/>
                <w:bCs/>
                <w:sz w:val="24"/>
                <w:szCs w:val="24"/>
              </w:rPr>
            </w:pPr>
            <w:r>
              <w:rPr>
                <w:b/>
                <w:bCs/>
                <w:sz w:val="24"/>
                <w:szCs w:val="24"/>
              </w:rPr>
              <w:t>Vanguard Explorer</w:t>
            </w:r>
          </w:p>
        </w:tc>
        <w:tc>
          <w:tcPr>
            <w:tcW w:w="3330" w:type="dxa"/>
            <w:tcBorders>
              <w:top w:val="nil"/>
              <w:left w:val="single" w:sz="6" w:space="0" w:color="000000"/>
              <w:bottom w:val="single" w:sz="6" w:space="0" w:color="000000"/>
              <w:right w:val="single" w:sz="6" w:space="0" w:color="000000"/>
            </w:tcBorders>
            <w:shd w:val="pct50" w:color="C0C0C0" w:fill="FFFFFF"/>
          </w:tcPr>
          <w:p w:rsidR="003E57C0" w:rsidRDefault="00400BE3">
            <w:pPr>
              <w:jc w:val="center"/>
              <w:rPr>
                <w:sz w:val="24"/>
                <w:szCs w:val="24"/>
              </w:rPr>
            </w:pPr>
            <w:r>
              <w:rPr>
                <w:sz w:val="24"/>
                <w:szCs w:val="24"/>
              </w:rPr>
              <w:t>VA- Small Company Growth</w:t>
            </w:r>
          </w:p>
        </w:tc>
        <w:tc>
          <w:tcPr>
            <w:tcW w:w="1710" w:type="dxa"/>
            <w:tcBorders>
              <w:top w:val="nil"/>
              <w:left w:val="single" w:sz="6" w:space="0" w:color="000000"/>
              <w:bottom w:val="single" w:sz="6" w:space="0" w:color="000000"/>
              <w:right w:val="single" w:sz="6" w:space="0" w:color="000000"/>
            </w:tcBorders>
            <w:shd w:val="pct50" w:color="C0C0C0" w:fill="FFFFFF"/>
          </w:tcPr>
          <w:p w:rsidR="003E57C0" w:rsidRDefault="00400BE3">
            <w:pPr>
              <w:jc w:val="center"/>
              <w:rPr>
                <w:sz w:val="24"/>
                <w:szCs w:val="24"/>
              </w:rPr>
            </w:pPr>
            <w:r>
              <w:rPr>
                <w:sz w:val="24"/>
                <w:szCs w:val="24"/>
              </w:rPr>
              <w:t>11.99%</w:t>
            </w:r>
          </w:p>
        </w:tc>
        <w:tc>
          <w:tcPr>
            <w:tcW w:w="1530" w:type="dxa"/>
            <w:tcBorders>
              <w:top w:val="nil"/>
              <w:left w:val="single" w:sz="6" w:space="0" w:color="000000"/>
              <w:bottom w:val="single" w:sz="6" w:space="0" w:color="000000"/>
              <w:right w:val="single" w:sz="6" w:space="0" w:color="000000"/>
            </w:tcBorders>
            <w:shd w:val="pct50" w:color="C0C0C0" w:fill="FFFFFF"/>
          </w:tcPr>
          <w:p w:rsidR="003E57C0" w:rsidRDefault="00400BE3">
            <w:pPr>
              <w:jc w:val="center"/>
              <w:rPr>
                <w:sz w:val="24"/>
                <w:szCs w:val="24"/>
              </w:rPr>
            </w:pPr>
            <w:r>
              <w:rPr>
                <w:sz w:val="24"/>
                <w:szCs w:val="24"/>
              </w:rPr>
              <w:t>12.27%</w:t>
            </w:r>
          </w:p>
        </w:tc>
        <w:tc>
          <w:tcPr>
            <w:tcW w:w="1350" w:type="dxa"/>
            <w:tcBorders>
              <w:top w:val="nil"/>
              <w:left w:val="single" w:sz="6" w:space="0" w:color="000000"/>
              <w:bottom w:val="single" w:sz="6" w:space="0" w:color="000000"/>
              <w:right w:val="single" w:sz="6" w:space="0" w:color="000000"/>
            </w:tcBorders>
            <w:shd w:val="pct50" w:color="C0C0C0" w:fill="FFFFFF"/>
          </w:tcPr>
          <w:p w:rsidR="003E57C0" w:rsidRDefault="00400BE3">
            <w:pPr>
              <w:jc w:val="center"/>
              <w:rPr>
                <w:sz w:val="24"/>
                <w:szCs w:val="24"/>
              </w:rPr>
            </w:pPr>
            <w:r>
              <w:rPr>
                <w:sz w:val="24"/>
                <w:szCs w:val="24"/>
              </w:rPr>
              <w:t>+0.28%</w:t>
            </w:r>
          </w:p>
        </w:tc>
      </w:tr>
    </w:tbl>
    <w:p w:rsidR="003E57C0" w:rsidRDefault="003E57C0">
      <w:pPr>
        <w:rPr>
          <w:sz w:val="24"/>
          <w:szCs w:val="24"/>
        </w:rPr>
      </w:pPr>
    </w:p>
    <w:p w:rsidR="003E57C0" w:rsidRDefault="003E57C0">
      <w:pPr>
        <w:rPr>
          <w:sz w:val="24"/>
          <w:szCs w:val="24"/>
        </w:rPr>
      </w:pPr>
    </w:p>
    <w:p w:rsidR="003E57C0" w:rsidRDefault="00400BE3">
      <w:pPr>
        <w:jc w:val="center"/>
        <w:rPr>
          <w:sz w:val="24"/>
          <w:szCs w:val="24"/>
        </w:rPr>
      </w:pPr>
      <w:r>
        <w:rPr>
          <w:b/>
          <w:bCs/>
          <w:sz w:val="24"/>
          <w:szCs w:val="24"/>
        </w:rPr>
        <w:t>5 Year Period: 1/1/90 to 12/31/95</w:t>
      </w:r>
    </w:p>
    <w:p w:rsidR="003E57C0" w:rsidRDefault="003E57C0">
      <w:pPr>
        <w:rPr>
          <w:sz w:val="24"/>
          <w:szCs w:val="24"/>
        </w:rPr>
      </w:pPr>
    </w:p>
    <w:tbl>
      <w:tblPr>
        <w:tblW w:w="0" w:type="auto"/>
        <w:tblLayout w:type="fixed"/>
        <w:tblLook w:val="0000" w:firstRow="0" w:lastRow="0" w:firstColumn="0" w:lastColumn="0" w:noHBand="0" w:noVBand="0"/>
      </w:tblPr>
      <w:tblGrid>
        <w:gridCol w:w="3438"/>
        <w:gridCol w:w="3330"/>
        <w:gridCol w:w="1710"/>
        <w:gridCol w:w="1530"/>
        <w:gridCol w:w="1350"/>
      </w:tblGrid>
      <w:tr w:rsidR="003E57C0">
        <w:tc>
          <w:tcPr>
            <w:tcW w:w="3438"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jc w:val="center"/>
              <w:rPr>
                <w:b/>
                <w:bCs/>
                <w:i/>
                <w:iCs/>
                <w:sz w:val="24"/>
                <w:szCs w:val="24"/>
              </w:rPr>
            </w:pPr>
            <w:r>
              <w:rPr>
                <w:b/>
                <w:bCs/>
                <w:i/>
                <w:iCs/>
                <w:sz w:val="24"/>
                <w:szCs w:val="24"/>
              </w:rPr>
              <w:t>VA Subaccount Name</w:t>
            </w:r>
          </w:p>
        </w:tc>
        <w:tc>
          <w:tcPr>
            <w:tcW w:w="3330"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jc w:val="center"/>
              <w:rPr>
                <w:b/>
                <w:bCs/>
                <w:i/>
                <w:iCs/>
                <w:sz w:val="24"/>
                <w:szCs w:val="24"/>
              </w:rPr>
            </w:pPr>
            <w:r>
              <w:rPr>
                <w:b/>
                <w:bCs/>
                <w:i/>
                <w:iCs/>
                <w:sz w:val="24"/>
                <w:szCs w:val="24"/>
              </w:rPr>
              <w:t>Proper Benchmark Used</w:t>
            </w:r>
          </w:p>
        </w:tc>
        <w:tc>
          <w:tcPr>
            <w:tcW w:w="1710"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jc w:val="center"/>
              <w:rPr>
                <w:b/>
                <w:bCs/>
                <w:i/>
                <w:iCs/>
                <w:sz w:val="24"/>
                <w:szCs w:val="24"/>
              </w:rPr>
            </w:pPr>
            <w:r>
              <w:rPr>
                <w:b/>
                <w:bCs/>
                <w:i/>
                <w:iCs/>
                <w:sz w:val="24"/>
                <w:szCs w:val="24"/>
              </w:rPr>
              <w:t>Bench-</w:t>
            </w:r>
          </w:p>
          <w:p w:rsidR="003E57C0" w:rsidRDefault="00400BE3">
            <w:pPr>
              <w:jc w:val="center"/>
              <w:rPr>
                <w:b/>
                <w:bCs/>
                <w:i/>
                <w:iCs/>
                <w:sz w:val="24"/>
                <w:szCs w:val="24"/>
              </w:rPr>
            </w:pPr>
            <w:r>
              <w:rPr>
                <w:b/>
                <w:bCs/>
                <w:i/>
                <w:iCs/>
                <w:sz w:val="24"/>
                <w:szCs w:val="24"/>
              </w:rPr>
              <w:t>mark</w:t>
            </w:r>
          </w:p>
          <w:p w:rsidR="003E57C0" w:rsidRDefault="00400BE3">
            <w:pPr>
              <w:jc w:val="center"/>
              <w:rPr>
                <w:b/>
                <w:bCs/>
                <w:i/>
                <w:iCs/>
                <w:sz w:val="24"/>
                <w:szCs w:val="24"/>
              </w:rPr>
            </w:pPr>
            <w:r>
              <w:rPr>
                <w:b/>
                <w:bCs/>
                <w:i/>
                <w:iCs/>
                <w:sz w:val="24"/>
                <w:szCs w:val="24"/>
              </w:rPr>
              <w:t xml:space="preserve"> ROR</w:t>
            </w:r>
          </w:p>
        </w:tc>
        <w:tc>
          <w:tcPr>
            <w:tcW w:w="1530"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tabs>
                <w:tab w:val="left" w:pos="432"/>
              </w:tabs>
              <w:jc w:val="center"/>
              <w:rPr>
                <w:b/>
                <w:bCs/>
                <w:i/>
                <w:iCs/>
                <w:sz w:val="24"/>
                <w:szCs w:val="24"/>
              </w:rPr>
            </w:pPr>
            <w:r>
              <w:rPr>
                <w:b/>
                <w:bCs/>
                <w:i/>
                <w:iCs/>
                <w:sz w:val="24"/>
                <w:szCs w:val="24"/>
              </w:rPr>
              <w:t>5 Year Sub-Account</w:t>
            </w:r>
          </w:p>
          <w:p w:rsidR="003E57C0" w:rsidRDefault="00400BE3">
            <w:pPr>
              <w:tabs>
                <w:tab w:val="left" w:pos="432"/>
              </w:tabs>
              <w:jc w:val="center"/>
              <w:rPr>
                <w:b/>
                <w:bCs/>
                <w:i/>
                <w:iCs/>
                <w:sz w:val="24"/>
                <w:szCs w:val="24"/>
              </w:rPr>
            </w:pPr>
            <w:r>
              <w:rPr>
                <w:b/>
                <w:bCs/>
                <w:i/>
                <w:iCs/>
                <w:sz w:val="24"/>
                <w:szCs w:val="24"/>
              </w:rPr>
              <w:t>ROR</w:t>
            </w:r>
          </w:p>
        </w:tc>
        <w:tc>
          <w:tcPr>
            <w:tcW w:w="1350" w:type="dxa"/>
            <w:tcBorders>
              <w:top w:val="single" w:sz="6" w:space="0" w:color="000000"/>
              <w:left w:val="single" w:sz="6" w:space="0" w:color="000000"/>
              <w:bottom w:val="single" w:sz="6" w:space="0" w:color="000000"/>
              <w:right w:val="single" w:sz="6" w:space="0" w:color="000000"/>
            </w:tcBorders>
            <w:shd w:val="pct30" w:color="000000" w:fill="FFFFFF"/>
          </w:tcPr>
          <w:p w:rsidR="003E57C0" w:rsidRDefault="00400BE3">
            <w:pPr>
              <w:jc w:val="center"/>
              <w:rPr>
                <w:b/>
                <w:bCs/>
                <w:i/>
                <w:iCs/>
                <w:sz w:val="24"/>
                <w:szCs w:val="24"/>
              </w:rPr>
            </w:pPr>
            <w:r>
              <w:rPr>
                <w:b/>
                <w:bCs/>
                <w:i/>
                <w:iCs/>
                <w:sz w:val="24"/>
                <w:szCs w:val="24"/>
              </w:rPr>
              <w:t>5 Year</w:t>
            </w:r>
            <w:r>
              <w:rPr>
                <w:b/>
                <w:bCs/>
                <w:i/>
                <w:iCs/>
                <w:sz w:val="24"/>
                <w:szCs w:val="24"/>
              </w:rPr>
              <w:br/>
              <w:t>Delta</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Alger American Growth</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Long Term Growth</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12.15%</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20.24%</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+8.09%</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AUL American Bond</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Corporate Bond</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6.86%</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8.06%</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+1.20%</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AUL American Money Market</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Money Market</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2.61%</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2.67%</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+0.06%</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American Managed Portfolio</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Balanced</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10.36%</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9.56%</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-0.80%</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AUL American Equity</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Long Term Growth</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12.15%</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12.81%</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+0.66%</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Fidelity Growth Portfolio</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Long Term Growth</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12.15%</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19.28%</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+7.13%</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Fidelity Asset Manager</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Asset Allocation</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9.04%</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11.36%</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+2.32%</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Fidelity Equity Income</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Equity Income</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13.56%</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19.83%</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+6.27%</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Fidelity High Income Portfolio</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Corporate High Yield</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12.38%</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17.46%</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+5.08%</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Fidelity Overseas Portfolio</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International Equity</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7.37%</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6.78%</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-0.59%</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INVESCO Dynamics</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Small Company Growth</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12.90%</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23.31%</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+10.41%</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 xml:space="preserve">PBHG Growth </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Small Company Growth</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12.90%</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33.43%</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+20.53%</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20th Century TCI Growth</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Long Term Growth</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12.15%</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10.07%</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-2.08%</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r>
              <w:rPr>
                <w:b/>
                <w:bCs/>
                <w:sz w:val="24"/>
                <w:szCs w:val="24"/>
              </w:rPr>
              <w:t>20th Century Select</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Long Term Growth</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12.15%</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8.90%</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-3.25%</w:t>
            </w:r>
          </w:p>
        </w:tc>
      </w:tr>
      <w:tr w:rsidR="003E57C0">
        <w:tc>
          <w:tcPr>
            <w:tcW w:w="3438" w:type="dxa"/>
            <w:tcBorders>
              <w:top w:val="nil"/>
              <w:left w:val="single" w:sz="6" w:space="0" w:color="000000"/>
              <w:bottom w:val="nil"/>
              <w:right w:val="single" w:sz="6" w:space="0" w:color="000000"/>
            </w:tcBorders>
            <w:shd w:val="pct25" w:color="C0C0C0" w:fill="FFFFFF"/>
          </w:tcPr>
          <w:p w:rsidR="003E57C0" w:rsidRDefault="00400BE3">
            <w:pPr>
              <w:jc w:val="center"/>
              <w:rPr>
                <w:b/>
                <w:bCs/>
                <w:sz w:val="24"/>
                <w:szCs w:val="24"/>
              </w:rPr>
            </w:pPr>
            <w:r>
              <w:rPr>
                <w:b/>
                <w:bCs/>
                <w:sz w:val="24"/>
                <w:szCs w:val="24"/>
              </w:rPr>
              <w:t>20th Century Ultra</w:t>
            </w:r>
          </w:p>
        </w:tc>
        <w:tc>
          <w:tcPr>
            <w:tcW w:w="33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VA- Small Company Growth</w:t>
            </w:r>
          </w:p>
        </w:tc>
        <w:tc>
          <w:tcPr>
            <w:tcW w:w="171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12.90%</w:t>
            </w:r>
          </w:p>
        </w:tc>
        <w:tc>
          <w:tcPr>
            <w:tcW w:w="153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23.52%</w:t>
            </w:r>
          </w:p>
        </w:tc>
        <w:tc>
          <w:tcPr>
            <w:tcW w:w="1350" w:type="dxa"/>
            <w:tcBorders>
              <w:top w:val="nil"/>
              <w:left w:val="single" w:sz="6" w:space="0" w:color="000000"/>
              <w:bottom w:val="nil"/>
              <w:right w:val="single" w:sz="6" w:space="0" w:color="000000"/>
            </w:tcBorders>
            <w:shd w:val="pct25" w:color="C0C0C0" w:fill="FFFFFF"/>
          </w:tcPr>
          <w:p w:rsidR="003E57C0" w:rsidRDefault="00400BE3">
            <w:pPr>
              <w:jc w:val="center"/>
              <w:rPr>
                <w:sz w:val="24"/>
                <w:szCs w:val="24"/>
              </w:rPr>
            </w:pPr>
            <w:r>
              <w:rPr>
                <w:sz w:val="24"/>
                <w:szCs w:val="24"/>
              </w:rPr>
              <w:t>+10.62%</w:t>
            </w:r>
          </w:p>
        </w:tc>
      </w:tr>
      <w:tr w:rsidR="003E57C0">
        <w:tc>
          <w:tcPr>
            <w:tcW w:w="3438" w:type="dxa"/>
            <w:tcBorders>
              <w:top w:val="nil"/>
              <w:left w:val="single" w:sz="6" w:space="0" w:color="000000"/>
              <w:bottom w:val="nil"/>
              <w:right w:val="single" w:sz="6" w:space="0" w:color="000000"/>
            </w:tcBorders>
            <w:shd w:val="pct50" w:color="C0C0C0" w:fill="FFFFFF"/>
          </w:tcPr>
          <w:p w:rsidR="003E57C0" w:rsidRDefault="00400BE3">
            <w:pPr>
              <w:jc w:val="center"/>
              <w:rPr>
                <w:b/>
                <w:bCs/>
                <w:sz w:val="24"/>
                <w:szCs w:val="24"/>
              </w:rPr>
            </w:pPr>
            <w:proofErr w:type="spellStart"/>
            <w:r>
              <w:rPr>
                <w:b/>
                <w:bCs/>
                <w:sz w:val="24"/>
                <w:szCs w:val="24"/>
              </w:rPr>
              <w:t>Vangrd</w:t>
            </w:r>
            <w:proofErr w:type="spellEnd"/>
            <w:r>
              <w:rPr>
                <w:b/>
                <w:bCs/>
                <w:sz w:val="24"/>
                <w:szCs w:val="24"/>
              </w:rPr>
              <w:t>: Short Term Fed Bond</w:t>
            </w:r>
          </w:p>
        </w:tc>
        <w:tc>
          <w:tcPr>
            <w:tcW w:w="33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VA- Gov Securities</w:t>
            </w:r>
            <w:r w:rsidR="00FC380F">
              <w:rPr>
                <w:sz w:val="24"/>
                <w:szCs w:val="24"/>
              </w:rPr>
              <w:t xml:space="preserve"> </w:t>
            </w:r>
            <w:r>
              <w:rPr>
                <w:sz w:val="24"/>
                <w:szCs w:val="24"/>
              </w:rPr>
              <w:t>(Closest)</w:t>
            </w:r>
          </w:p>
        </w:tc>
        <w:tc>
          <w:tcPr>
            <w:tcW w:w="171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4.80%</w:t>
            </w:r>
          </w:p>
        </w:tc>
        <w:tc>
          <w:tcPr>
            <w:tcW w:w="153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5.78%</w:t>
            </w:r>
          </w:p>
        </w:tc>
        <w:tc>
          <w:tcPr>
            <w:tcW w:w="1350" w:type="dxa"/>
            <w:tcBorders>
              <w:top w:val="nil"/>
              <w:left w:val="single" w:sz="6" w:space="0" w:color="000000"/>
              <w:bottom w:val="nil"/>
              <w:right w:val="single" w:sz="6" w:space="0" w:color="000000"/>
            </w:tcBorders>
            <w:shd w:val="pct50" w:color="C0C0C0" w:fill="FFFFFF"/>
          </w:tcPr>
          <w:p w:rsidR="003E57C0" w:rsidRDefault="00400BE3">
            <w:pPr>
              <w:jc w:val="center"/>
              <w:rPr>
                <w:sz w:val="24"/>
                <w:szCs w:val="24"/>
              </w:rPr>
            </w:pPr>
            <w:r>
              <w:rPr>
                <w:sz w:val="24"/>
                <w:szCs w:val="24"/>
              </w:rPr>
              <w:t>+0.98%</w:t>
            </w:r>
          </w:p>
        </w:tc>
      </w:tr>
      <w:tr w:rsidR="003E57C0">
        <w:tc>
          <w:tcPr>
            <w:tcW w:w="3438" w:type="dxa"/>
            <w:tcBorders>
              <w:top w:val="nil"/>
              <w:left w:val="single" w:sz="6" w:space="0" w:color="000000"/>
              <w:bottom w:val="single" w:sz="6" w:space="0" w:color="000000"/>
              <w:right w:val="single" w:sz="6" w:space="0" w:color="000000"/>
            </w:tcBorders>
            <w:shd w:val="pct25" w:color="C0C0C0" w:fill="FFFFFF"/>
          </w:tcPr>
          <w:p w:rsidR="003E57C0" w:rsidRDefault="00400BE3">
            <w:pPr>
              <w:jc w:val="center"/>
              <w:rPr>
                <w:b/>
                <w:bCs/>
                <w:sz w:val="24"/>
                <w:szCs w:val="24"/>
              </w:rPr>
            </w:pPr>
            <w:r>
              <w:rPr>
                <w:b/>
                <w:bCs/>
                <w:sz w:val="24"/>
                <w:szCs w:val="24"/>
              </w:rPr>
              <w:t>Vanguard Explorer</w:t>
            </w:r>
          </w:p>
        </w:tc>
        <w:tc>
          <w:tcPr>
            <w:tcW w:w="3330" w:type="dxa"/>
            <w:tcBorders>
              <w:top w:val="nil"/>
              <w:left w:val="single" w:sz="6" w:space="0" w:color="000000"/>
              <w:bottom w:val="single" w:sz="6" w:space="0" w:color="000000"/>
              <w:right w:val="single" w:sz="6" w:space="0" w:color="000000"/>
            </w:tcBorders>
            <w:shd w:val="pct25" w:color="C0C0C0" w:fill="FFFFFF"/>
          </w:tcPr>
          <w:p w:rsidR="003E57C0" w:rsidRDefault="00400BE3">
            <w:pPr>
              <w:jc w:val="center"/>
              <w:rPr>
                <w:sz w:val="24"/>
                <w:szCs w:val="24"/>
              </w:rPr>
            </w:pPr>
            <w:r>
              <w:rPr>
                <w:sz w:val="24"/>
                <w:szCs w:val="24"/>
              </w:rPr>
              <w:t>VA- Small Company Growth</w:t>
            </w:r>
          </w:p>
        </w:tc>
        <w:tc>
          <w:tcPr>
            <w:tcW w:w="1710" w:type="dxa"/>
            <w:tcBorders>
              <w:top w:val="nil"/>
              <w:left w:val="single" w:sz="6" w:space="0" w:color="000000"/>
              <w:bottom w:val="single" w:sz="6" w:space="0" w:color="000000"/>
              <w:right w:val="single" w:sz="6" w:space="0" w:color="000000"/>
            </w:tcBorders>
            <w:shd w:val="pct25" w:color="C0C0C0" w:fill="FFFFFF"/>
          </w:tcPr>
          <w:p w:rsidR="003E57C0" w:rsidRDefault="00400BE3">
            <w:pPr>
              <w:jc w:val="center"/>
              <w:rPr>
                <w:sz w:val="24"/>
                <w:szCs w:val="24"/>
              </w:rPr>
            </w:pPr>
            <w:r>
              <w:rPr>
                <w:sz w:val="24"/>
                <w:szCs w:val="24"/>
              </w:rPr>
              <w:t>12.90%</w:t>
            </w:r>
          </w:p>
        </w:tc>
        <w:tc>
          <w:tcPr>
            <w:tcW w:w="1530" w:type="dxa"/>
            <w:tcBorders>
              <w:top w:val="nil"/>
              <w:left w:val="single" w:sz="6" w:space="0" w:color="000000"/>
              <w:bottom w:val="single" w:sz="6" w:space="0" w:color="000000"/>
              <w:right w:val="single" w:sz="6" w:space="0" w:color="000000"/>
            </w:tcBorders>
            <w:shd w:val="pct25" w:color="C0C0C0" w:fill="FFFFFF"/>
          </w:tcPr>
          <w:p w:rsidR="003E57C0" w:rsidRDefault="00400BE3">
            <w:pPr>
              <w:jc w:val="center"/>
              <w:rPr>
                <w:sz w:val="24"/>
                <w:szCs w:val="24"/>
              </w:rPr>
            </w:pPr>
            <w:r>
              <w:rPr>
                <w:sz w:val="24"/>
                <w:szCs w:val="24"/>
              </w:rPr>
              <w:t>19.46%</w:t>
            </w:r>
          </w:p>
        </w:tc>
        <w:tc>
          <w:tcPr>
            <w:tcW w:w="1350" w:type="dxa"/>
            <w:tcBorders>
              <w:top w:val="nil"/>
              <w:left w:val="single" w:sz="6" w:space="0" w:color="000000"/>
              <w:bottom w:val="single" w:sz="6" w:space="0" w:color="000000"/>
              <w:right w:val="single" w:sz="6" w:space="0" w:color="000000"/>
            </w:tcBorders>
            <w:shd w:val="pct25" w:color="C0C0C0" w:fill="FFFFFF"/>
          </w:tcPr>
          <w:p w:rsidR="003E57C0" w:rsidRDefault="00400BE3">
            <w:pPr>
              <w:jc w:val="center"/>
              <w:rPr>
                <w:sz w:val="24"/>
                <w:szCs w:val="24"/>
              </w:rPr>
            </w:pPr>
            <w:r>
              <w:rPr>
                <w:sz w:val="24"/>
                <w:szCs w:val="24"/>
              </w:rPr>
              <w:t>+6.56%</w:t>
            </w:r>
          </w:p>
        </w:tc>
      </w:tr>
    </w:tbl>
    <w:p w:rsidR="00400BE3" w:rsidRDefault="00400BE3">
      <w:pPr>
        <w:rPr>
          <w:sz w:val="24"/>
          <w:szCs w:val="24"/>
        </w:rPr>
      </w:pPr>
    </w:p>
    <w:sectPr w:rsidR="00400BE3" w:rsidSect="003E57C0">
      <w:footerReference w:type="default" r:id="rId6"/>
      <w:type w:val="continuous"/>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5C" w:rsidRDefault="00D1565C" w:rsidP="006D1099">
      <w:r>
        <w:separator/>
      </w:r>
    </w:p>
  </w:endnote>
  <w:endnote w:type="continuationSeparator" w:id="0">
    <w:p w:rsidR="00D1565C" w:rsidRDefault="00D1565C" w:rsidP="006D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99" w:rsidRPr="006D1099" w:rsidRDefault="006D1099">
    <w:pPr>
      <w:pStyle w:val="Footer"/>
      <w:rPr>
        <w:sz w:val="16"/>
        <w:szCs w:val="16"/>
      </w:rPr>
    </w:pPr>
    <w:r w:rsidRPr="006D1099">
      <w:rPr>
        <w:sz w:val="16"/>
        <w:szCs w:val="16"/>
      </w:rPr>
      <w:t>Copyright 1997</w:t>
    </w:r>
    <w:r w:rsidR="00C12D5C">
      <w:rPr>
        <w:sz w:val="16"/>
        <w:szCs w:val="16"/>
      </w:rPr>
      <w:t xml:space="preserve"> </w:t>
    </w:r>
    <w:r w:rsidRPr="006D1099">
      <w:rPr>
        <w:sz w:val="16"/>
        <w:szCs w:val="16"/>
      </w:rPr>
      <w:t>-</w:t>
    </w:r>
    <w:r w:rsidR="00C12D5C">
      <w:rPr>
        <w:sz w:val="16"/>
        <w:szCs w:val="16"/>
      </w:rPr>
      <w:t xml:space="preserve"> </w:t>
    </w:r>
    <w:r w:rsidRPr="006D1099">
      <w:rPr>
        <w:sz w:val="16"/>
        <w:szCs w:val="16"/>
      </w:rPr>
      <w:t>201</w:t>
    </w:r>
    <w:r w:rsidR="00286951">
      <w:rPr>
        <w:sz w:val="16"/>
        <w:szCs w:val="16"/>
      </w:rPr>
      <w:t>7</w:t>
    </w:r>
    <w:r w:rsidRPr="006D1099">
      <w:rPr>
        <w:sz w:val="16"/>
        <w:szCs w:val="16"/>
      </w:rPr>
      <w:t xml:space="preserve"> Toolsformoney.com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5C" w:rsidRDefault="00D1565C" w:rsidP="006D1099">
      <w:r>
        <w:separator/>
      </w:r>
    </w:p>
  </w:footnote>
  <w:footnote w:type="continuationSeparator" w:id="0">
    <w:p w:rsidR="00D1565C" w:rsidRDefault="00D1565C" w:rsidP="006D1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attachedTemplate r:id="rId1"/>
  <w:defaultTabStop w:val="4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74FE"/>
    <w:rsid w:val="001166A1"/>
    <w:rsid w:val="00233E96"/>
    <w:rsid w:val="00286951"/>
    <w:rsid w:val="002D4181"/>
    <w:rsid w:val="002E723A"/>
    <w:rsid w:val="003E57C0"/>
    <w:rsid w:val="00400BE3"/>
    <w:rsid w:val="0046256C"/>
    <w:rsid w:val="005129F3"/>
    <w:rsid w:val="006C2682"/>
    <w:rsid w:val="006D1099"/>
    <w:rsid w:val="00AB74FE"/>
    <w:rsid w:val="00C12D5C"/>
    <w:rsid w:val="00CA70A1"/>
    <w:rsid w:val="00D1565C"/>
    <w:rsid w:val="00D86BCD"/>
    <w:rsid w:val="00DC3357"/>
    <w:rsid w:val="00FC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53CFDF3E"/>
  <w15:docId w15:val="{7BFC9602-6195-4190-AEDB-BA96A529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57C0"/>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4FE"/>
    <w:rPr>
      <w:rFonts w:ascii="Tahoma" w:hAnsi="Tahoma" w:cs="Tahoma"/>
      <w:sz w:val="16"/>
      <w:szCs w:val="16"/>
    </w:rPr>
  </w:style>
  <w:style w:type="character" w:customStyle="1" w:styleId="BalloonTextChar">
    <w:name w:val="Balloon Text Char"/>
    <w:basedOn w:val="DefaultParagraphFont"/>
    <w:link w:val="BalloonText"/>
    <w:uiPriority w:val="99"/>
    <w:semiHidden/>
    <w:rsid w:val="00AB74FE"/>
    <w:rPr>
      <w:rFonts w:ascii="Tahoma" w:hAnsi="Tahoma" w:cs="Tahoma"/>
      <w:sz w:val="16"/>
      <w:szCs w:val="16"/>
    </w:rPr>
  </w:style>
  <w:style w:type="paragraph" w:styleId="Header">
    <w:name w:val="header"/>
    <w:basedOn w:val="Normal"/>
    <w:link w:val="HeaderChar"/>
    <w:uiPriority w:val="99"/>
    <w:unhideWhenUsed/>
    <w:rsid w:val="006D1099"/>
    <w:pPr>
      <w:tabs>
        <w:tab w:val="center" w:pos="4680"/>
        <w:tab w:val="right" w:pos="9360"/>
      </w:tabs>
    </w:pPr>
  </w:style>
  <w:style w:type="character" w:customStyle="1" w:styleId="HeaderChar">
    <w:name w:val="Header Char"/>
    <w:basedOn w:val="DefaultParagraphFont"/>
    <w:link w:val="Header"/>
    <w:uiPriority w:val="99"/>
    <w:rsid w:val="006D1099"/>
    <w:rPr>
      <w:rFonts w:ascii="Times New Roman" w:hAnsi="Times New Roman" w:cs="Times New Roman"/>
      <w:sz w:val="20"/>
      <w:szCs w:val="20"/>
    </w:rPr>
  </w:style>
  <w:style w:type="paragraph" w:styleId="Footer">
    <w:name w:val="footer"/>
    <w:basedOn w:val="Normal"/>
    <w:link w:val="FooterChar"/>
    <w:uiPriority w:val="99"/>
    <w:unhideWhenUsed/>
    <w:rsid w:val="006D1099"/>
    <w:pPr>
      <w:tabs>
        <w:tab w:val="center" w:pos="4680"/>
        <w:tab w:val="right" w:pos="9360"/>
      </w:tabs>
    </w:pPr>
  </w:style>
  <w:style w:type="character" w:customStyle="1" w:styleId="FooterChar">
    <w:name w:val="Footer Char"/>
    <w:basedOn w:val="DefaultParagraphFont"/>
    <w:link w:val="Footer"/>
    <w:uiPriority w:val="99"/>
    <w:rsid w:val="006D109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WINWORD\TEMPLATE\GW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GWMEMO.DOT</Template>
  <TotalTime>16</TotalTime>
  <Pages>6</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Financial Partners</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Fulford</dc:creator>
  <cp:keywords/>
  <dc:description>Copyright 1997 - 2017 Toolsformoney.com All Rights Reserved</dc:description>
  <cp:lastModifiedBy>Michael D. Fulford, CFA (Toolsformoney.com)</cp:lastModifiedBy>
  <cp:revision>11</cp:revision>
  <cp:lastPrinted>1996-06-18T22:13:00Z</cp:lastPrinted>
  <dcterms:created xsi:type="dcterms:W3CDTF">2012-04-09T00:41:00Z</dcterms:created>
  <dcterms:modified xsi:type="dcterms:W3CDTF">2017-01-11T18:11:00Z</dcterms:modified>
</cp:coreProperties>
</file>