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17" w:rsidRDefault="00CC4817" w:rsidP="009E3D32">
      <w:pPr>
        <w:pBdr>
          <w:top w:val="single" w:sz="12" w:space="1" w:color="auto"/>
          <w:left w:val="single" w:sz="12" w:space="4" w:color="auto"/>
          <w:bottom w:val="single" w:sz="12" w:space="1" w:color="auto"/>
          <w:right w:val="single" w:sz="12" w:space="4" w:color="auto"/>
        </w:pBdr>
        <w:shd w:val="clear" w:color="auto" w:fill="D2E0D5"/>
        <w:jc w:val="center"/>
        <w:rPr>
          <w:color w:val="000000"/>
          <w:sz w:val="24"/>
        </w:rPr>
      </w:pPr>
      <w:r>
        <w:rPr>
          <w:b/>
          <w:smallCaps/>
          <w:color w:val="000000"/>
          <w:sz w:val="48"/>
        </w:rPr>
        <w:t>Socially</w:t>
      </w:r>
      <w:r>
        <w:rPr>
          <w:b/>
          <w:smallCaps/>
          <w:color w:val="000000"/>
          <w:sz w:val="48"/>
          <w:shd w:val="pct50" w:color="FFFFFF" w:fill="99CC00"/>
        </w:rPr>
        <w:t xml:space="preserve"> </w:t>
      </w:r>
      <w:r>
        <w:rPr>
          <w:b/>
          <w:smallCaps/>
          <w:color w:val="000000"/>
          <w:sz w:val="48"/>
        </w:rPr>
        <w:t>Aware Investing</w:t>
      </w:r>
    </w:p>
    <w:p w:rsidR="00CC4817" w:rsidRDefault="00CC4817">
      <w:pPr>
        <w:jc w:val="center"/>
        <w:rPr>
          <w:color w:val="000000"/>
          <w:sz w:val="24"/>
        </w:rPr>
      </w:pPr>
    </w:p>
    <w:p w:rsidR="00CC4817" w:rsidRDefault="00CC4817">
      <w:pPr>
        <w:jc w:val="center"/>
        <w:rPr>
          <w:sz w:val="28"/>
        </w:rPr>
      </w:pPr>
      <w:r>
        <w:rPr>
          <w:sz w:val="28"/>
        </w:rPr>
        <w:t>Use if client/prospects indicate they want to avoid holding stocks that have</w:t>
      </w:r>
    </w:p>
    <w:p w:rsidR="00CC4817" w:rsidRDefault="00CC4817">
      <w:pPr>
        <w:jc w:val="center"/>
        <w:rPr>
          <w:sz w:val="28"/>
        </w:rPr>
      </w:pPr>
      <w:r>
        <w:rPr>
          <w:sz w:val="28"/>
        </w:rPr>
        <w:t>dealings with any of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310"/>
      </w:tblGrid>
      <w:tr w:rsidR="00CC4817">
        <w:trPr>
          <w:trHeight w:hRule="exact" w:val="1000"/>
        </w:trPr>
        <w:tc>
          <w:tcPr>
            <w:tcW w:w="5580" w:type="dxa"/>
            <w:tcBorders>
              <w:top w:val="nil"/>
              <w:left w:val="nil"/>
            </w:tcBorders>
            <w:vAlign w:val="center"/>
          </w:tcPr>
          <w:p w:rsidR="00CC4817" w:rsidRDefault="00CC4817">
            <w:pPr>
              <w:jc w:val="both"/>
              <w:rPr>
                <w:sz w:val="24"/>
              </w:rPr>
            </w:pPr>
          </w:p>
        </w:tc>
        <w:tc>
          <w:tcPr>
            <w:tcW w:w="5310" w:type="dxa"/>
            <w:vAlign w:val="center"/>
          </w:tcPr>
          <w:p w:rsidR="00CC4817" w:rsidRDefault="00CC4817">
            <w:pPr>
              <w:pStyle w:val="Base"/>
              <w:jc w:val="center"/>
              <w:rPr>
                <w:rFonts w:ascii="Times New Roman" w:hAnsi="Times New Roman"/>
                <w:sz w:val="26"/>
              </w:rPr>
            </w:pPr>
            <w:r>
              <w:rPr>
                <w:rFonts w:ascii="Times New Roman" w:hAnsi="Times New Roman"/>
                <w:sz w:val="26"/>
              </w:rPr>
              <w:t>List the Maximum Percent You Feel comfortable Holding In Your Portfolio</w:t>
            </w:r>
          </w:p>
        </w:tc>
      </w:tr>
      <w:tr w:rsidR="00CC4817">
        <w:trPr>
          <w:trHeight w:hRule="exact" w:val="1000"/>
        </w:trPr>
        <w:tc>
          <w:tcPr>
            <w:tcW w:w="5580" w:type="dxa"/>
            <w:vAlign w:val="center"/>
          </w:tcPr>
          <w:p w:rsidR="00CC4817" w:rsidRDefault="00CC4817">
            <w:pPr>
              <w:jc w:val="both"/>
              <w:rPr>
                <w:sz w:val="24"/>
              </w:rPr>
            </w:pPr>
          </w:p>
          <w:p w:rsidR="00CC4817" w:rsidRDefault="00CC4817">
            <w:pPr>
              <w:jc w:val="both"/>
              <w:rPr>
                <w:sz w:val="24"/>
              </w:rPr>
            </w:pPr>
            <w:r>
              <w:rPr>
                <w:sz w:val="24"/>
              </w:rPr>
              <w:t>Non-Marriage (Same-Sex) Lifestyle:</w:t>
            </w:r>
            <w:bookmarkStart w:id="0" w:name="_GoBack"/>
            <w:bookmarkEnd w:id="0"/>
          </w:p>
          <w:p w:rsidR="00CC4817" w:rsidRDefault="00CC4817">
            <w:pPr>
              <w:jc w:val="both"/>
              <w:rPr>
                <w:sz w:val="24"/>
              </w:rPr>
            </w:pPr>
          </w:p>
          <w:p w:rsidR="00CC4817" w:rsidRDefault="00CC4817">
            <w:pPr>
              <w:jc w:val="both"/>
              <w:rPr>
                <w:sz w:val="24"/>
              </w:rPr>
            </w:pPr>
          </w:p>
        </w:tc>
        <w:tc>
          <w:tcPr>
            <w:tcW w:w="5310" w:type="dxa"/>
            <w:vAlign w:val="center"/>
          </w:tcPr>
          <w:p w:rsidR="00CC4817" w:rsidRDefault="00CC4817">
            <w:pPr>
              <w:pStyle w:val="Base"/>
              <w:rPr>
                <w:rFonts w:ascii="Times New Roman" w:hAnsi="Times New Roman"/>
                <w:sz w:val="26"/>
              </w:rPr>
            </w:pPr>
          </w:p>
        </w:tc>
      </w:tr>
      <w:tr w:rsidR="00CC4817">
        <w:trPr>
          <w:trHeight w:hRule="exact" w:val="1000"/>
        </w:trPr>
        <w:tc>
          <w:tcPr>
            <w:tcW w:w="5580" w:type="dxa"/>
            <w:vAlign w:val="center"/>
          </w:tcPr>
          <w:p w:rsidR="00CC4817" w:rsidRDefault="00CC4817">
            <w:pPr>
              <w:jc w:val="both"/>
              <w:rPr>
                <w:sz w:val="24"/>
              </w:rPr>
            </w:pPr>
            <w:r>
              <w:rPr>
                <w:sz w:val="24"/>
              </w:rPr>
              <w:t>Nuclear Power:</w:t>
            </w:r>
          </w:p>
        </w:tc>
        <w:tc>
          <w:tcPr>
            <w:tcW w:w="5310" w:type="dxa"/>
            <w:vAlign w:val="center"/>
          </w:tcPr>
          <w:p w:rsidR="00CC4817" w:rsidRDefault="00CC4817">
            <w:pPr>
              <w:pStyle w:val="Base"/>
              <w:rPr>
                <w:rFonts w:ascii="Times New Roman" w:hAnsi="Times New Roman"/>
                <w:sz w:val="26"/>
              </w:rPr>
            </w:pPr>
          </w:p>
        </w:tc>
      </w:tr>
      <w:tr w:rsidR="00CC4817">
        <w:trPr>
          <w:trHeight w:hRule="exact" w:val="1000"/>
        </w:trPr>
        <w:tc>
          <w:tcPr>
            <w:tcW w:w="5580" w:type="dxa"/>
            <w:vAlign w:val="center"/>
          </w:tcPr>
          <w:p w:rsidR="00CC4817" w:rsidRDefault="00CC4817">
            <w:pPr>
              <w:jc w:val="both"/>
              <w:rPr>
                <w:sz w:val="24"/>
              </w:rPr>
            </w:pPr>
            <w:r>
              <w:rPr>
                <w:sz w:val="24"/>
              </w:rPr>
              <w:t>Affirmative Action:</w:t>
            </w:r>
          </w:p>
        </w:tc>
        <w:tc>
          <w:tcPr>
            <w:tcW w:w="5310" w:type="dxa"/>
            <w:vAlign w:val="center"/>
          </w:tcPr>
          <w:p w:rsidR="00CC4817" w:rsidRDefault="00CC4817">
            <w:pPr>
              <w:pStyle w:val="Base"/>
              <w:rPr>
                <w:rFonts w:ascii="Times New Roman" w:hAnsi="Times New Roman"/>
                <w:sz w:val="26"/>
              </w:rPr>
            </w:pPr>
          </w:p>
        </w:tc>
      </w:tr>
      <w:tr w:rsidR="00CC4817">
        <w:trPr>
          <w:trHeight w:hRule="exact" w:val="1000"/>
        </w:trPr>
        <w:tc>
          <w:tcPr>
            <w:tcW w:w="5580" w:type="dxa"/>
            <w:vAlign w:val="center"/>
          </w:tcPr>
          <w:p w:rsidR="00CC4817" w:rsidRDefault="00CC4817">
            <w:pPr>
              <w:jc w:val="both"/>
              <w:rPr>
                <w:sz w:val="24"/>
              </w:rPr>
            </w:pPr>
            <w:r>
              <w:rPr>
                <w:sz w:val="24"/>
              </w:rPr>
              <w:t>Military/Defense Contractors:</w:t>
            </w:r>
          </w:p>
        </w:tc>
        <w:tc>
          <w:tcPr>
            <w:tcW w:w="5310" w:type="dxa"/>
            <w:vAlign w:val="center"/>
          </w:tcPr>
          <w:p w:rsidR="00CC4817" w:rsidRDefault="00CC4817">
            <w:pPr>
              <w:pStyle w:val="Base"/>
              <w:rPr>
                <w:rFonts w:ascii="Times New Roman" w:hAnsi="Times New Roman"/>
                <w:sz w:val="26"/>
              </w:rPr>
            </w:pPr>
          </w:p>
        </w:tc>
      </w:tr>
      <w:tr w:rsidR="00CC4817">
        <w:trPr>
          <w:trHeight w:hRule="exact" w:val="1000"/>
        </w:trPr>
        <w:tc>
          <w:tcPr>
            <w:tcW w:w="5580" w:type="dxa"/>
            <w:vAlign w:val="center"/>
          </w:tcPr>
          <w:p w:rsidR="00CC4817" w:rsidRDefault="00CC4817">
            <w:pPr>
              <w:jc w:val="both"/>
              <w:rPr>
                <w:sz w:val="24"/>
                <w:lang w:val="fr-FR"/>
              </w:rPr>
            </w:pPr>
            <w:proofErr w:type="spellStart"/>
            <w:r>
              <w:rPr>
                <w:sz w:val="24"/>
                <w:lang w:val="fr-FR"/>
              </w:rPr>
              <w:t>Environment</w:t>
            </w:r>
            <w:proofErr w:type="spellEnd"/>
            <w:r>
              <w:rPr>
                <w:sz w:val="24"/>
                <w:lang w:val="fr-FR"/>
              </w:rPr>
              <w:t>:</w:t>
            </w:r>
          </w:p>
        </w:tc>
        <w:tc>
          <w:tcPr>
            <w:tcW w:w="5310" w:type="dxa"/>
            <w:vAlign w:val="center"/>
          </w:tcPr>
          <w:p w:rsidR="00CC4817" w:rsidRDefault="00CC4817">
            <w:pPr>
              <w:pStyle w:val="Base"/>
              <w:rPr>
                <w:rFonts w:ascii="Times New Roman" w:hAnsi="Times New Roman"/>
                <w:sz w:val="26"/>
                <w:lang w:val="fr-FR"/>
              </w:rPr>
            </w:pPr>
          </w:p>
        </w:tc>
      </w:tr>
      <w:tr w:rsidR="00CC4817">
        <w:trPr>
          <w:trHeight w:hRule="exact" w:val="1000"/>
        </w:trPr>
        <w:tc>
          <w:tcPr>
            <w:tcW w:w="5580" w:type="dxa"/>
            <w:vAlign w:val="center"/>
          </w:tcPr>
          <w:p w:rsidR="00CC4817" w:rsidRDefault="00CC4817">
            <w:pPr>
              <w:jc w:val="both"/>
              <w:rPr>
                <w:sz w:val="24"/>
                <w:lang w:val="fr-FR"/>
              </w:rPr>
            </w:pPr>
          </w:p>
          <w:p w:rsidR="00CC4817" w:rsidRDefault="00CC4817">
            <w:pPr>
              <w:jc w:val="both"/>
              <w:rPr>
                <w:sz w:val="24"/>
                <w:lang w:val="fr-FR"/>
              </w:rPr>
            </w:pPr>
            <w:proofErr w:type="spellStart"/>
            <w:r>
              <w:rPr>
                <w:sz w:val="24"/>
                <w:lang w:val="fr-FR"/>
              </w:rPr>
              <w:t>Pornography</w:t>
            </w:r>
            <w:proofErr w:type="spellEnd"/>
            <w:r>
              <w:rPr>
                <w:sz w:val="24"/>
                <w:lang w:val="fr-FR"/>
              </w:rPr>
              <w:t>:</w:t>
            </w:r>
          </w:p>
          <w:p w:rsidR="00CC4817" w:rsidRDefault="00CC4817">
            <w:pPr>
              <w:jc w:val="both"/>
              <w:rPr>
                <w:sz w:val="24"/>
                <w:lang w:val="fr-FR"/>
              </w:rPr>
            </w:pPr>
          </w:p>
          <w:p w:rsidR="00CC4817" w:rsidRDefault="00CC4817">
            <w:pPr>
              <w:jc w:val="both"/>
              <w:rPr>
                <w:sz w:val="24"/>
                <w:lang w:val="fr-FR"/>
              </w:rPr>
            </w:pPr>
          </w:p>
        </w:tc>
        <w:tc>
          <w:tcPr>
            <w:tcW w:w="5310" w:type="dxa"/>
            <w:vAlign w:val="center"/>
          </w:tcPr>
          <w:p w:rsidR="00CC4817" w:rsidRDefault="00CC4817">
            <w:pPr>
              <w:pStyle w:val="Base"/>
              <w:rPr>
                <w:rFonts w:ascii="Times New Roman" w:hAnsi="Times New Roman"/>
                <w:sz w:val="26"/>
                <w:lang w:val="fr-FR"/>
              </w:rPr>
            </w:pPr>
          </w:p>
        </w:tc>
      </w:tr>
      <w:tr w:rsidR="00CC4817">
        <w:trPr>
          <w:trHeight w:hRule="exact" w:val="1000"/>
        </w:trPr>
        <w:tc>
          <w:tcPr>
            <w:tcW w:w="5580" w:type="dxa"/>
            <w:vAlign w:val="center"/>
          </w:tcPr>
          <w:p w:rsidR="00CC4817" w:rsidRDefault="00CC4817">
            <w:pPr>
              <w:jc w:val="both"/>
              <w:rPr>
                <w:sz w:val="24"/>
                <w:lang w:val="fr-FR"/>
              </w:rPr>
            </w:pPr>
          </w:p>
          <w:p w:rsidR="00CC4817" w:rsidRDefault="00CC4817">
            <w:pPr>
              <w:jc w:val="both"/>
              <w:rPr>
                <w:sz w:val="24"/>
                <w:lang w:val="fr-FR"/>
              </w:rPr>
            </w:pPr>
            <w:r>
              <w:rPr>
                <w:sz w:val="24"/>
                <w:lang w:val="fr-FR"/>
              </w:rPr>
              <w:t>Abortion:</w:t>
            </w:r>
          </w:p>
          <w:p w:rsidR="00CC4817" w:rsidRDefault="00CC4817">
            <w:pPr>
              <w:jc w:val="both"/>
              <w:rPr>
                <w:sz w:val="24"/>
                <w:lang w:val="fr-FR"/>
              </w:rPr>
            </w:pPr>
          </w:p>
          <w:p w:rsidR="00CC4817" w:rsidRDefault="00CC4817">
            <w:pPr>
              <w:jc w:val="both"/>
              <w:rPr>
                <w:sz w:val="24"/>
                <w:lang w:val="fr-FR"/>
              </w:rPr>
            </w:pPr>
          </w:p>
        </w:tc>
        <w:tc>
          <w:tcPr>
            <w:tcW w:w="5310" w:type="dxa"/>
            <w:vAlign w:val="center"/>
          </w:tcPr>
          <w:p w:rsidR="00CC4817" w:rsidRDefault="00CC4817">
            <w:pPr>
              <w:pStyle w:val="Base"/>
              <w:rPr>
                <w:rFonts w:ascii="Times New Roman" w:hAnsi="Times New Roman"/>
                <w:sz w:val="26"/>
                <w:lang w:val="fr-FR"/>
              </w:rPr>
            </w:pPr>
          </w:p>
        </w:tc>
      </w:tr>
      <w:tr w:rsidR="00CC4817">
        <w:trPr>
          <w:trHeight w:hRule="exact" w:val="1000"/>
        </w:trPr>
        <w:tc>
          <w:tcPr>
            <w:tcW w:w="5580" w:type="dxa"/>
            <w:vAlign w:val="center"/>
          </w:tcPr>
          <w:p w:rsidR="00CC4817" w:rsidRDefault="00CC4817">
            <w:pPr>
              <w:jc w:val="both"/>
              <w:rPr>
                <w:sz w:val="24"/>
                <w:lang w:val="fr-FR"/>
              </w:rPr>
            </w:pPr>
          </w:p>
          <w:p w:rsidR="00CC4817" w:rsidRDefault="00CC4817">
            <w:pPr>
              <w:jc w:val="both"/>
              <w:rPr>
                <w:sz w:val="24"/>
              </w:rPr>
            </w:pPr>
            <w:r>
              <w:rPr>
                <w:sz w:val="24"/>
              </w:rPr>
              <w:t>Alcohol:</w:t>
            </w:r>
          </w:p>
          <w:p w:rsidR="00CC4817" w:rsidRDefault="00CC4817">
            <w:pPr>
              <w:jc w:val="both"/>
              <w:rPr>
                <w:sz w:val="24"/>
              </w:rPr>
            </w:pPr>
          </w:p>
          <w:p w:rsidR="00CC4817" w:rsidRDefault="00CC4817">
            <w:pPr>
              <w:jc w:val="both"/>
              <w:rPr>
                <w:sz w:val="24"/>
              </w:rPr>
            </w:pPr>
          </w:p>
        </w:tc>
        <w:tc>
          <w:tcPr>
            <w:tcW w:w="5310" w:type="dxa"/>
            <w:vAlign w:val="center"/>
          </w:tcPr>
          <w:p w:rsidR="00CC4817" w:rsidRDefault="00CC4817">
            <w:pPr>
              <w:pStyle w:val="Base"/>
              <w:rPr>
                <w:rFonts w:ascii="Times New Roman" w:hAnsi="Times New Roman"/>
                <w:sz w:val="26"/>
              </w:rPr>
            </w:pPr>
          </w:p>
        </w:tc>
      </w:tr>
      <w:tr w:rsidR="00CC4817">
        <w:trPr>
          <w:trHeight w:hRule="exact" w:val="1000"/>
        </w:trPr>
        <w:tc>
          <w:tcPr>
            <w:tcW w:w="5580" w:type="dxa"/>
            <w:vAlign w:val="center"/>
          </w:tcPr>
          <w:p w:rsidR="00CC4817" w:rsidRDefault="00CC4817">
            <w:pPr>
              <w:jc w:val="both"/>
              <w:rPr>
                <w:sz w:val="24"/>
              </w:rPr>
            </w:pPr>
          </w:p>
          <w:p w:rsidR="00CC4817" w:rsidRDefault="00CC4817">
            <w:pPr>
              <w:jc w:val="both"/>
              <w:rPr>
                <w:sz w:val="24"/>
              </w:rPr>
            </w:pPr>
            <w:r>
              <w:rPr>
                <w:sz w:val="24"/>
              </w:rPr>
              <w:t>Tobacco:</w:t>
            </w:r>
          </w:p>
          <w:p w:rsidR="00CC4817" w:rsidRDefault="00CC4817">
            <w:pPr>
              <w:jc w:val="both"/>
              <w:rPr>
                <w:sz w:val="24"/>
              </w:rPr>
            </w:pPr>
          </w:p>
          <w:p w:rsidR="00CC4817" w:rsidRDefault="00CC4817">
            <w:pPr>
              <w:jc w:val="both"/>
              <w:rPr>
                <w:sz w:val="24"/>
              </w:rPr>
            </w:pPr>
          </w:p>
        </w:tc>
        <w:tc>
          <w:tcPr>
            <w:tcW w:w="5310" w:type="dxa"/>
            <w:vAlign w:val="center"/>
          </w:tcPr>
          <w:p w:rsidR="00CC4817" w:rsidRDefault="00CC4817">
            <w:pPr>
              <w:pStyle w:val="Base"/>
              <w:rPr>
                <w:rFonts w:ascii="Times New Roman" w:hAnsi="Times New Roman"/>
                <w:sz w:val="26"/>
              </w:rPr>
            </w:pPr>
          </w:p>
        </w:tc>
      </w:tr>
      <w:tr w:rsidR="00CC4817">
        <w:trPr>
          <w:trHeight w:hRule="exact" w:val="1000"/>
        </w:trPr>
        <w:tc>
          <w:tcPr>
            <w:tcW w:w="5580" w:type="dxa"/>
            <w:vAlign w:val="center"/>
          </w:tcPr>
          <w:p w:rsidR="00CC4817" w:rsidRDefault="00CC4817">
            <w:pPr>
              <w:jc w:val="both"/>
              <w:rPr>
                <w:sz w:val="24"/>
              </w:rPr>
            </w:pPr>
            <w:r>
              <w:rPr>
                <w:sz w:val="24"/>
              </w:rPr>
              <w:t>Gaming (Gambling):</w:t>
            </w:r>
          </w:p>
        </w:tc>
        <w:tc>
          <w:tcPr>
            <w:tcW w:w="5310" w:type="dxa"/>
            <w:vAlign w:val="center"/>
          </w:tcPr>
          <w:p w:rsidR="00CC4817" w:rsidRDefault="00CC4817">
            <w:pPr>
              <w:pStyle w:val="Base"/>
              <w:rPr>
                <w:rFonts w:ascii="Times New Roman" w:hAnsi="Times New Roman"/>
                <w:sz w:val="26"/>
              </w:rPr>
            </w:pPr>
          </w:p>
        </w:tc>
      </w:tr>
      <w:tr w:rsidR="00CC4817">
        <w:trPr>
          <w:trHeight w:hRule="exact" w:val="1027"/>
        </w:trPr>
        <w:tc>
          <w:tcPr>
            <w:tcW w:w="5580" w:type="dxa"/>
            <w:vAlign w:val="center"/>
          </w:tcPr>
          <w:p w:rsidR="00CC4817" w:rsidRDefault="00CC4817">
            <w:pPr>
              <w:jc w:val="both"/>
              <w:rPr>
                <w:sz w:val="24"/>
              </w:rPr>
            </w:pPr>
            <w:r>
              <w:rPr>
                <w:sz w:val="24"/>
              </w:rPr>
              <w:t>What is the maximum percentage of the portfolio allowed for all of the above six categories combined?</w:t>
            </w:r>
          </w:p>
        </w:tc>
        <w:tc>
          <w:tcPr>
            <w:tcW w:w="5310" w:type="dxa"/>
            <w:vAlign w:val="center"/>
          </w:tcPr>
          <w:p w:rsidR="00CC4817" w:rsidRDefault="00CC4817">
            <w:pPr>
              <w:pStyle w:val="Base"/>
              <w:rPr>
                <w:rFonts w:ascii="Times New Roman" w:hAnsi="Times New Roman"/>
              </w:rPr>
            </w:pPr>
          </w:p>
        </w:tc>
      </w:tr>
    </w:tbl>
    <w:p w:rsidR="00CC4817" w:rsidRDefault="00CC4817">
      <w:pPr>
        <w:rPr>
          <w:sz w:val="24"/>
        </w:rPr>
      </w:pPr>
    </w:p>
    <w:sectPr w:rsidR="00CC4817" w:rsidSect="00ED4FFC">
      <w:foot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331" w:rsidRDefault="00B67331">
      <w:r>
        <w:separator/>
      </w:r>
    </w:p>
  </w:endnote>
  <w:endnote w:type="continuationSeparator" w:id="0">
    <w:p w:rsidR="00B67331" w:rsidRDefault="00B6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17" w:rsidRDefault="00CC4817">
    <w:pPr>
      <w:pStyle w:val="BodyText2"/>
      <w:jc w:val="right"/>
      <w:rPr>
        <w:sz w:val="16"/>
      </w:rPr>
    </w:pPr>
    <w:r>
      <w:rPr>
        <w:sz w:val="16"/>
      </w:rPr>
      <w:sym w:font="Symbol" w:char="F0E3"/>
    </w:r>
    <w:r>
      <w:rPr>
        <w:sz w:val="16"/>
      </w:rPr>
      <w:t xml:space="preserve"> Copyright 1997</w:t>
    </w:r>
    <w:r w:rsidR="00EF5627">
      <w:rPr>
        <w:sz w:val="16"/>
      </w:rPr>
      <w:t xml:space="preserve"> </w:t>
    </w:r>
    <w:r>
      <w:rPr>
        <w:sz w:val="16"/>
      </w:rPr>
      <w:t>-</w:t>
    </w:r>
    <w:r w:rsidR="00EF5627">
      <w:rPr>
        <w:sz w:val="16"/>
      </w:rPr>
      <w:t xml:space="preserve"> </w:t>
    </w:r>
    <w:r>
      <w:rPr>
        <w:sz w:val="16"/>
      </w:rPr>
      <w:t>201</w:t>
    </w:r>
    <w:r w:rsidR="009211B1">
      <w:rPr>
        <w:sz w:val="16"/>
      </w:rPr>
      <w:t>7</w:t>
    </w:r>
    <w:r>
      <w:rPr>
        <w:sz w:val="16"/>
      </w:rPr>
      <w:t xml:space="preserve"> Toolsformoney.com, All Rights Reserved</w:t>
    </w:r>
  </w:p>
  <w:p w:rsidR="00CC4817" w:rsidRDefault="00CC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331" w:rsidRDefault="00B67331">
      <w:r>
        <w:separator/>
      </w:r>
    </w:p>
  </w:footnote>
  <w:footnote w:type="continuationSeparator" w:id="0">
    <w:p w:rsidR="00B67331" w:rsidRDefault="00B6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3D32"/>
    <w:rsid w:val="00037EE8"/>
    <w:rsid w:val="00133DF9"/>
    <w:rsid w:val="004D3220"/>
    <w:rsid w:val="009211B1"/>
    <w:rsid w:val="009E3D32"/>
    <w:rsid w:val="00B67331"/>
    <w:rsid w:val="00CC4817"/>
    <w:rsid w:val="00E152D5"/>
    <w:rsid w:val="00ED4FFC"/>
    <w:rsid w:val="00EF5627"/>
    <w:rsid w:val="00F0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FB74F"/>
  <w15:docId w15:val="{5D59AE50-8BC5-402F-8925-B3C52CFF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4FFC"/>
    <w:pPr>
      <w:jc w:val="center"/>
    </w:pPr>
    <w:rPr>
      <w:b/>
      <w:sz w:val="36"/>
    </w:rPr>
  </w:style>
  <w:style w:type="paragraph" w:customStyle="1" w:styleId="Base">
    <w:name w:val="Base"/>
    <w:rsid w:val="00ED4FFC"/>
    <w:rPr>
      <w:rFonts w:ascii="Arial" w:hAnsi="Arial"/>
      <w:sz w:val="24"/>
    </w:rPr>
  </w:style>
  <w:style w:type="paragraph" w:styleId="Header">
    <w:name w:val="header"/>
    <w:basedOn w:val="Normal"/>
    <w:semiHidden/>
    <w:rsid w:val="00ED4FFC"/>
    <w:pPr>
      <w:tabs>
        <w:tab w:val="center" w:pos="4320"/>
        <w:tab w:val="right" w:pos="8640"/>
      </w:tabs>
    </w:pPr>
  </w:style>
  <w:style w:type="paragraph" w:styleId="Footer">
    <w:name w:val="footer"/>
    <w:basedOn w:val="Normal"/>
    <w:semiHidden/>
    <w:rsid w:val="00ED4FFC"/>
    <w:pPr>
      <w:tabs>
        <w:tab w:val="center" w:pos="4320"/>
        <w:tab w:val="right" w:pos="8640"/>
      </w:tabs>
    </w:pPr>
  </w:style>
  <w:style w:type="paragraph" w:styleId="BodyText2">
    <w:name w:val="Body Text 2"/>
    <w:basedOn w:val="Normal"/>
    <w:semiHidden/>
    <w:rsid w:val="00ED4FF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Sample Socially Aware Fact Finder.</vt:lpstr>
    </vt:vector>
  </TitlesOfParts>
  <Company>Real World Software</Company>
  <LinksUpToDate>false</LinksUpToDate>
  <CharactersWithSpaces>525</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Socially Aware Fact Finder.</dc:title>
  <dc:subject>Financial Planning Fact Finding</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 All Rights Reserved</dc:description>
  <cp:lastModifiedBy>Michael D. Fulford, CFA (Toolsformoney.com)</cp:lastModifiedBy>
  <cp:revision>6</cp:revision>
  <dcterms:created xsi:type="dcterms:W3CDTF">2012-01-10T20:37:00Z</dcterms:created>
  <dcterms:modified xsi:type="dcterms:W3CDTF">2017-01-11T17:50:00Z</dcterms:modified>
  <cp:category>Personal Finance Software</cp:category>
</cp:coreProperties>
</file>